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AA7A" w14:textId="54542899" w:rsidR="00AA0400" w:rsidRDefault="00AA0400" w:rsidP="006A0FCE">
      <w:pPr>
        <w:ind w:right="-330"/>
      </w:pPr>
      <w:r>
        <w:rPr>
          <w:noProof/>
          <w:lang w:eastAsia="hr-HR"/>
        </w:rPr>
        <w:drawing>
          <wp:inline distT="0" distB="0" distL="0" distR="0" wp14:anchorId="151F272D" wp14:editId="56F6C799">
            <wp:extent cx="5731510" cy="18986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664A0" w14:textId="545DAF4B" w:rsidR="00AA0400" w:rsidRDefault="00AA0400" w:rsidP="006A0FCE">
      <w:pPr>
        <w:ind w:right="-330"/>
      </w:pPr>
    </w:p>
    <w:p w14:paraId="291AC283" w14:textId="02A4F582" w:rsidR="00AA0400" w:rsidRDefault="00AA0400" w:rsidP="006A0FCE">
      <w:pPr>
        <w:ind w:right="-330"/>
      </w:pPr>
    </w:p>
    <w:p w14:paraId="0D6B2E82" w14:textId="63E3E022" w:rsidR="00AA0400" w:rsidRDefault="00AA0400" w:rsidP="006A0FCE">
      <w:pPr>
        <w:ind w:right="-330"/>
      </w:pPr>
    </w:p>
    <w:p w14:paraId="381A5DF5" w14:textId="66933F2B" w:rsidR="00AA0400" w:rsidRDefault="00AA0400" w:rsidP="006A0FCE">
      <w:pPr>
        <w:ind w:right="-330"/>
      </w:pPr>
    </w:p>
    <w:p w14:paraId="39EB332E" w14:textId="6FAE5B29" w:rsidR="00AA0400" w:rsidRDefault="00AA0400" w:rsidP="006A0FCE">
      <w:pPr>
        <w:ind w:right="-330"/>
      </w:pPr>
    </w:p>
    <w:p w14:paraId="0EEC348D" w14:textId="16A8B40E" w:rsidR="00AA0400" w:rsidRDefault="00AA0400" w:rsidP="006A0FCE">
      <w:pPr>
        <w:ind w:right="-330"/>
      </w:pPr>
    </w:p>
    <w:p w14:paraId="611044B7" w14:textId="48291332" w:rsidR="00AA0400" w:rsidRDefault="00AA0400" w:rsidP="006A0FCE">
      <w:pPr>
        <w:ind w:right="-330"/>
      </w:pPr>
    </w:p>
    <w:p w14:paraId="6AD24286" w14:textId="77777777" w:rsidR="00AA0400" w:rsidRDefault="00AA0400" w:rsidP="006A0FCE">
      <w:pPr>
        <w:ind w:right="-330"/>
      </w:pPr>
    </w:p>
    <w:p w14:paraId="0C2734A3" w14:textId="720CFB79" w:rsidR="00AA0400" w:rsidRPr="00EC568E" w:rsidRDefault="00AA0400" w:rsidP="006A0FCE">
      <w:pPr>
        <w:ind w:right="-330"/>
        <w:jc w:val="center"/>
        <w:rPr>
          <w:b/>
          <w:bCs/>
          <w:sz w:val="36"/>
          <w:szCs w:val="28"/>
        </w:rPr>
      </w:pPr>
      <w:r w:rsidRPr="00EC568E">
        <w:rPr>
          <w:b/>
          <w:bCs/>
          <w:sz w:val="36"/>
          <w:szCs w:val="28"/>
        </w:rPr>
        <w:t xml:space="preserve"> PLAN</w:t>
      </w:r>
      <w:r w:rsidR="00BD1F2E">
        <w:rPr>
          <w:b/>
          <w:bCs/>
          <w:sz w:val="36"/>
          <w:szCs w:val="28"/>
        </w:rPr>
        <w:t xml:space="preserve"> </w:t>
      </w:r>
      <w:r w:rsidRPr="00EC568E">
        <w:rPr>
          <w:b/>
          <w:bCs/>
          <w:sz w:val="36"/>
          <w:szCs w:val="28"/>
        </w:rPr>
        <w:t>I PROGRAM RADA TURISTIČKE ZAJEDNICE PODRUČJA “SREDIŠNJA PODRAVINA”</w:t>
      </w:r>
      <w:r w:rsidR="00FB1B68" w:rsidRPr="00EC568E">
        <w:rPr>
          <w:b/>
          <w:bCs/>
          <w:sz w:val="36"/>
          <w:szCs w:val="28"/>
        </w:rPr>
        <w:t xml:space="preserve"> ZA 2022</w:t>
      </w:r>
      <w:r w:rsidR="002244EE" w:rsidRPr="00EC568E">
        <w:rPr>
          <w:b/>
          <w:bCs/>
          <w:sz w:val="36"/>
          <w:szCs w:val="28"/>
        </w:rPr>
        <w:t>. GODINU</w:t>
      </w:r>
    </w:p>
    <w:p w14:paraId="290F527C" w14:textId="77777777" w:rsidR="00677BE8" w:rsidRDefault="00677BE8" w:rsidP="006A0FCE">
      <w:pPr>
        <w:ind w:right="-330"/>
      </w:pPr>
    </w:p>
    <w:p w14:paraId="109910B8" w14:textId="1CAC26DE" w:rsidR="00677BE8" w:rsidRDefault="00677BE8" w:rsidP="006A0FCE">
      <w:pPr>
        <w:ind w:right="-330"/>
      </w:pPr>
    </w:p>
    <w:p w14:paraId="6F3855A3" w14:textId="77777777" w:rsidR="00677BE8" w:rsidRDefault="00677BE8" w:rsidP="006A0FCE">
      <w:pPr>
        <w:ind w:right="-330"/>
      </w:pPr>
    </w:p>
    <w:p w14:paraId="322B0FC9" w14:textId="314F5E68" w:rsidR="00677BE8" w:rsidRDefault="002244EE" w:rsidP="006A0FCE">
      <w:pPr>
        <w:ind w:right="-330"/>
      </w:pPr>
      <w:r>
        <w:t>A. Đure Sudete 12</w:t>
      </w:r>
    </w:p>
    <w:p w14:paraId="1370187F" w14:textId="637B8B22" w:rsidR="002244EE" w:rsidRDefault="002244EE" w:rsidP="006A0FCE">
      <w:pPr>
        <w:ind w:right="-330"/>
      </w:pPr>
      <w:r>
        <w:t>P. 48 326 Virje, Hrvatska</w:t>
      </w:r>
    </w:p>
    <w:p w14:paraId="15957D8F" w14:textId="31CDE0B6" w:rsidR="002244EE" w:rsidRDefault="002244EE" w:rsidP="006A0FCE">
      <w:pPr>
        <w:ind w:right="-330"/>
      </w:pPr>
      <w:r>
        <w:t>T. 048/621 283</w:t>
      </w:r>
    </w:p>
    <w:p w14:paraId="423285BA" w14:textId="6AA34BE2" w:rsidR="002244EE" w:rsidRDefault="002244EE" w:rsidP="006A0FCE">
      <w:pPr>
        <w:ind w:right="-330"/>
      </w:pPr>
      <w:r>
        <w:t>M. 099/609 7337</w:t>
      </w:r>
    </w:p>
    <w:p w14:paraId="15A31EA8" w14:textId="75C5CEC3" w:rsidR="002244EE" w:rsidRDefault="002244EE" w:rsidP="006A0FCE">
      <w:pPr>
        <w:ind w:right="-330"/>
      </w:pPr>
      <w:r>
        <w:t xml:space="preserve">E. </w:t>
      </w:r>
      <w:hyperlink r:id="rId8" w:history="1">
        <w:r w:rsidRPr="00797BF6">
          <w:rPr>
            <w:rStyle w:val="Hyperlink"/>
          </w:rPr>
          <w:t>info@tzp-sredisnja-podravina.hr</w:t>
        </w:r>
      </w:hyperlink>
    </w:p>
    <w:p w14:paraId="238BB311" w14:textId="63ED3421" w:rsidR="00677BE8" w:rsidRDefault="002244EE" w:rsidP="006A0FCE">
      <w:pPr>
        <w:ind w:right="-330"/>
      </w:pPr>
      <w:r>
        <w:t xml:space="preserve">W. </w:t>
      </w:r>
      <w:hyperlink r:id="rId9" w:history="1">
        <w:r w:rsidRPr="00797BF6">
          <w:rPr>
            <w:rStyle w:val="Hyperlink"/>
          </w:rPr>
          <w:t>https://tzp-sredisnja-podravina.hr</w:t>
        </w:r>
      </w:hyperlink>
      <w:r>
        <w:t xml:space="preserve"> </w:t>
      </w:r>
    </w:p>
    <w:p w14:paraId="4EBA657E" w14:textId="77777777" w:rsidR="00677BE8" w:rsidRDefault="00677BE8" w:rsidP="006A0FCE">
      <w:pPr>
        <w:ind w:right="-330"/>
      </w:pPr>
    </w:p>
    <w:p w14:paraId="71A2A85D" w14:textId="77777777" w:rsidR="00677BE8" w:rsidRDefault="00677BE8" w:rsidP="006A0FCE">
      <w:pPr>
        <w:ind w:right="-330"/>
      </w:pPr>
    </w:p>
    <w:p w14:paraId="164563ED" w14:textId="642DAC1E" w:rsidR="00677BE8" w:rsidRPr="00EA403D" w:rsidRDefault="00677BE8" w:rsidP="006A0FCE">
      <w:pPr>
        <w:ind w:right="-330"/>
        <w:jc w:val="center"/>
      </w:pPr>
      <w:r w:rsidRPr="00EA403D">
        <w:t xml:space="preserve">U Virju, </w:t>
      </w:r>
      <w:r w:rsidR="00190090">
        <w:t>22</w:t>
      </w:r>
      <w:r w:rsidR="00EA403D">
        <w:t xml:space="preserve">. studenog </w:t>
      </w:r>
      <w:r w:rsidR="00FB1B68" w:rsidRPr="00EA403D">
        <w:t>2021</w:t>
      </w:r>
      <w:r w:rsidRPr="00EA403D">
        <w:t>.</w:t>
      </w:r>
    </w:p>
    <w:p w14:paraId="068DF226" w14:textId="09E93AF6" w:rsidR="00750FC4" w:rsidRDefault="00750FC4" w:rsidP="006A0FCE">
      <w:pPr>
        <w:ind w:right="-330"/>
        <w:jc w:val="center"/>
      </w:pPr>
    </w:p>
    <w:p w14:paraId="5C8541B0" w14:textId="77777777" w:rsidR="00623F1A" w:rsidRDefault="00623F1A" w:rsidP="00412031">
      <w:pPr>
        <w:ind w:right="-330"/>
        <w:sectPr w:rsidR="00623F1A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879A00" w14:textId="0D38F114" w:rsidR="00750FC4" w:rsidRDefault="00750FC4" w:rsidP="00412031">
      <w:pPr>
        <w:ind w:right="-330"/>
      </w:pPr>
    </w:p>
    <w:p w14:paraId="70E3733A" w14:textId="42E85C23" w:rsidR="00677BE8" w:rsidRPr="00E50549" w:rsidRDefault="00677BE8" w:rsidP="006A0FCE">
      <w:pPr>
        <w:pStyle w:val="ListParagraph"/>
        <w:numPr>
          <w:ilvl w:val="0"/>
          <w:numId w:val="18"/>
        </w:numPr>
        <w:ind w:right="-330"/>
        <w:rPr>
          <w:b/>
          <w:sz w:val="32"/>
        </w:rPr>
      </w:pPr>
      <w:r w:rsidRPr="00E50549">
        <w:rPr>
          <w:b/>
          <w:sz w:val="32"/>
        </w:rPr>
        <w:t>UVOD</w:t>
      </w:r>
    </w:p>
    <w:p w14:paraId="013F5FAD" w14:textId="51F860E5" w:rsidR="00FB1B68" w:rsidRPr="00E50549" w:rsidRDefault="00FB1B68" w:rsidP="006A0FCE">
      <w:pPr>
        <w:ind w:right="-330"/>
        <w:jc w:val="both"/>
        <w:rPr>
          <w:rFonts w:ascii="Calibri" w:hAnsi="Calibri" w:cs="Calibri"/>
          <w:sz w:val="24"/>
          <w:szCs w:val="24"/>
        </w:rPr>
      </w:pPr>
      <w:r w:rsidRPr="00E50549">
        <w:rPr>
          <w:rFonts w:ascii="Calibri" w:hAnsi="Calibri" w:cs="Calibri"/>
          <w:sz w:val="24"/>
          <w:szCs w:val="24"/>
        </w:rPr>
        <w:t>Prilikom planiranja Programa rada Turističke zajednice područja Središnja Podravina za 2022.g. (u daljnjem tekstu Program) polazi se od: članaka 55. i 56. Zakona o turističkim zajednicama i promicanju hrvatskog turizma,</w:t>
      </w:r>
      <w:r w:rsidRPr="00750FC4">
        <w:rPr>
          <w:rFonts w:ascii="Calibri" w:hAnsi="Calibri" w:cs="Calibri"/>
          <w:sz w:val="24"/>
          <w:szCs w:val="24"/>
        </w:rPr>
        <w:t xml:space="preserve"> članaka 51., 52., 53. i 54. Statuta Turističke z</w:t>
      </w:r>
      <w:r w:rsidR="00750FC4" w:rsidRPr="00750FC4">
        <w:rPr>
          <w:rFonts w:ascii="Calibri" w:hAnsi="Calibri" w:cs="Calibri"/>
          <w:sz w:val="24"/>
          <w:szCs w:val="24"/>
        </w:rPr>
        <w:t>ajednice područja Središnja Podravina</w:t>
      </w:r>
      <w:r w:rsidRPr="00750FC4">
        <w:rPr>
          <w:rFonts w:ascii="Calibri" w:hAnsi="Calibri" w:cs="Calibri"/>
          <w:sz w:val="24"/>
          <w:szCs w:val="24"/>
        </w:rPr>
        <w:t xml:space="preserve"> </w:t>
      </w:r>
      <w:r w:rsidRPr="00E50549">
        <w:rPr>
          <w:rFonts w:ascii="Calibri" w:hAnsi="Calibri" w:cs="Calibri"/>
          <w:sz w:val="24"/>
          <w:szCs w:val="24"/>
        </w:rPr>
        <w:t>te Metodologija i obveznih uputa za izradu godišnjeg programa rada i izvješća o izvršenju godišnjeg programa rada koje je u studenom 2020. godine donijelo Ministarstvo turizma i sporta RH.</w:t>
      </w:r>
    </w:p>
    <w:p w14:paraId="672388D3" w14:textId="3D55084F" w:rsidR="00FB1B68" w:rsidRPr="00E50549" w:rsidRDefault="00FB1B68" w:rsidP="006A0FCE">
      <w:pPr>
        <w:ind w:right="-330"/>
        <w:jc w:val="both"/>
        <w:rPr>
          <w:rFonts w:ascii="Calibri" w:hAnsi="Calibri" w:cs="Calibri"/>
          <w:sz w:val="24"/>
          <w:szCs w:val="24"/>
        </w:rPr>
      </w:pPr>
      <w:r w:rsidRPr="00E50549">
        <w:rPr>
          <w:rFonts w:ascii="Calibri" w:hAnsi="Calibri" w:cs="Calibri"/>
          <w:sz w:val="24"/>
          <w:szCs w:val="24"/>
        </w:rPr>
        <w:t>Ostvarenje programa rada Turističke zajednice područja Središnja Podravina u 2022.g. godini pretpostavlja realizaciju cijelog niza projekata i aktivnosti koji pridonose pozicioniranju Središnje Podravine kao turističke destinacije.</w:t>
      </w:r>
    </w:p>
    <w:p w14:paraId="57DF698F" w14:textId="656C453D" w:rsidR="00546B28" w:rsidRDefault="00677BE8" w:rsidP="006A0FCE">
      <w:pPr>
        <w:ind w:right="-330"/>
        <w:jc w:val="both"/>
      </w:pPr>
      <w:r w:rsidRPr="00E50549">
        <w:rPr>
          <w:sz w:val="24"/>
        </w:rPr>
        <w:t xml:space="preserve">Turistička zajednica područja “Središnja Podravina” osnovana je s ciljem zajedničkog kreiranja turističke ponude šest općina: Općine Gola, Hlebine, Legrad, Molve, Novigrad Podravski i Virje. </w:t>
      </w:r>
      <w:r w:rsidR="00AA0400" w:rsidRPr="00E50549">
        <w:rPr>
          <w:sz w:val="24"/>
        </w:rPr>
        <w:t xml:space="preserve"> </w:t>
      </w:r>
    </w:p>
    <w:p w14:paraId="05A91D3D" w14:textId="30FD73A4" w:rsidR="00953036" w:rsidRPr="00E50549" w:rsidRDefault="00953036" w:rsidP="006A0FCE">
      <w:pPr>
        <w:ind w:right="-330"/>
        <w:jc w:val="both"/>
        <w:rPr>
          <w:b/>
          <w:sz w:val="24"/>
          <w:szCs w:val="24"/>
        </w:rPr>
      </w:pPr>
      <w:r w:rsidRPr="00E50549">
        <w:rPr>
          <w:b/>
          <w:sz w:val="24"/>
          <w:szCs w:val="24"/>
        </w:rPr>
        <w:t xml:space="preserve">Strateški ciljevi Turističke zajednice područja Središnja Podravina: </w:t>
      </w:r>
    </w:p>
    <w:p w14:paraId="0A2FFB7F" w14:textId="3041050F" w:rsidR="00953036" w:rsidRPr="00E50549" w:rsidRDefault="00D259A5" w:rsidP="006A0FCE">
      <w:pPr>
        <w:pStyle w:val="ListParagraph"/>
        <w:numPr>
          <w:ilvl w:val="0"/>
          <w:numId w:val="34"/>
        </w:numPr>
        <w:ind w:left="709" w:right="-330"/>
        <w:jc w:val="both"/>
        <w:rPr>
          <w:sz w:val="24"/>
        </w:rPr>
      </w:pPr>
      <w:r w:rsidRPr="00E50549">
        <w:rPr>
          <w:sz w:val="24"/>
        </w:rPr>
        <w:t>razvijanje</w:t>
      </w:r>
      <w:r w:rsidR="00953036" w:rsidRPr="00E50549">
        <w:rPr>
          <w:sz w:val="24"/>
        </w:rPr>
        <w:t xml:space="preserve"> održiv</w:t>
      </w:r>
      <w:r w:rsidRPr="00E50549">
        <w:rPr>
          <w:sz w:val="24"/>
        </w:rPr>
        <w:t>og turiz</w:t>
      </w:r>
      <w:r w:rsidR="00953036" w:rsidRPr="00E50549">
        <w:rPr>
          <w:sz w:val="24"/>
        </w:rPr>
        <w:t>m</w:t>
      </w:r>
      <w:r w:rsidRPr="00E50549">
        <w:rPr>
          <w:sz w:val="24"/>
        </w:rPr>
        <w:t>a</w:t>
      </w:r>
      <w:r w:rsidR="00953036" w:rsidRPr="00E50549">
        <w:rPr>
          <w:sz w:val="24"/>
        </w:rPr>
        <w:t xml:space="preserve"> u ruralnom </w:t>
      </w:r>
      <w:r w:rsidRPr="00E50549">
        <w:rPr>
          <w:sz w:val="24"/>
        </w:rPr>
        <w:t xml:space="preserve">okruženju </w:t>
      </w:r>
      <w:r w:rsidR="00953036" w:rsidRPr="00E50549">
        <w:rPr>
          <w:sz w:val="24"/>
        </w:rPr>
        <w:t xml:space="preserve">uz osvještavanje domaćeg stanovništva o mogućnosti razvijanja turizma kao dodatne djelatnosti na poljoprivrednim gospodarstvima, te </w:t>
      </w:r>
      <w:r w:rsidRPr="00E50549">
        <w:rPr>
          <w:sz w:val="24"/>
        </w:rPr>
        <w:t xml:space="preserve">ukazivanje na </w:t>
      </w:r>
      <w:r w:rsidR="00953036" w:rsidRPr="00E50549">
        <w:rPr>
          <w:sz w:val="24"/>
        </w:rPr>
        <w:t xml:space="preserve">činjenicu </w:t>
      </w:r>
      <w:r w:rsidRPr="00E50549">
        <w:rPr>
          <w:sz w:val="24"/>
        </w:rPr>
        <w:t xml:space="preserve">kako je lokalna zajednica </w:t>
      </w:r>
      <w:r w:rsidR="00953036" w:rsidRPr="00E50549">
        <w:rPr>
          <w:sz w:val="24"/>
        </w:rPr>
        <w:t xml:space="preserve">važan faktor u kreiranju </w:t>
      </w:r>
      <w:r w:rsidRPr="00E50549">
        <w:rPr>
          <w:sz w:val="24"/>
        </w:rPr>
        <w:t xml:space="preserve">navedene </w:t>
      </w:r>
      <w:r w:rsidR="00953036" w:rsidRPr="00E50549">
        <w:rPr>
          <w:sz w:val="24"/>
        </w:rPr>
        <w:t>turisti</w:t>
      </w:r>
      <w:r w:rsidRPr="00E50549">
        <w:rPr>
          <w:sz w:val="24"/>
        </w:rPr>
        <w:t>čke ponude</w:t>
      </w:r>
    </w:p>
    <w:p w14:paraId="302457FE" w14:textId="311E515B" w:rsidR="00953036" w:rsidRPr="00E50549" w:rsidRDefault="00953036" w:rsidP="006A0FCE">
      <w:pPr>
        <w:pStyle w:val="ListParagraph"/>
        <w:numPr>
          <w:ilvl w:val="0"/>
          <w:numId w:val="34"/>
        </w:numPr>
        <w:ind w:left="709" w:right="-330"/>
        <w:jc w:val="both"/>
        <w:rPr>
          <w:sz w:val="24"/>
        </w:rPr>
      </w:pPr>
      <w:r w:rsidRPr="00E50549">
        <w:rPr>
          <w:sz w:val="24"/>
        </w:rPr>
        <w:t>podizanje kvalitete ponude</w:t>
      </w:r>
      <w:r w:rsidR="00D259A5" w:rsidRPr="00E50549">
        <w:rPr>
          <w:sz w:val="24"/>
        </w:rPr>
        <w:t xml:space="preserve"> u vidu pozicioniranja središnje Podravine</w:t>
      </w:r>
      <w:r w:rsidRPr="00E50549">
        <w:rPr>
          <w:sz w:val="24"/>
        </w:rPr>
        <w:t xml:space="preserve"> </w:t>
      </w:r>
      <w:r w:rsidR="00D259A5" w:rsidRPr="00E50549">
        <w:rPr>
          <w:sz w:val="24"/>
        </w:rPr>
        <w:t>kao kulturne i art destinacije</w:t>
      </w:r>
      <w:r w:rsidRPr="00E50549">
        <w:rPr>
          <w:sz w:val="24"/>
        </w:rPr>
        <w:t xml:space="preserve"> s ponudom aktivnog</w:t>
      </w:r>
      <w:r w:rsidR="00D259A5" w:rsidRPr="00E50549">
        <w:rPr>
          <w:sz w:val="24"/>
        </w:rPr>
        <w:t xml:space="preserve"> turizma</w:t>
      </w:r>
      <w:r w:rsidRPr="00E50549">
        <w:rPr>
          <w:sz w:val="24"/>
        </w:rPr>
        <w:t>, ciklo</w:t>
      </w:r>
      <w:r w:rsidR="00D259A5" w:rsidRPr="00E50549">
        <w:rPr>
          <w:sz w:val="24"/>
        </w:rPr>
        <w:t>turizma</w:t>
      </w:r>
      <w:r w:rsidRPr="00E50549">
        <w:rPr>
          <w:sz w:val="24"/>
        </w:rPr>
        <w:t xml:space="preserve"> uz vjer</w:t>
      </w:r>
      <w:r w:rsidR="00D259A5" w:rsidRPr="00E50549">
        <w:rPr>
          <w:sz w:val="24"/>
        </w:rPr>
        <w:t>ski turizam te s</w:t>
      </w:r>
      <w:r w:rsidR="00EC568E" w:rsidRPr="00E50549">
        <w:rPr>
          <w:sz w:val="24"/>
        </w:rPr>
        <w:t xml:space="preserve"> naglas</w:t>
      </w:r>
      <w:r w:rsidRPr="00E50549">
        <w:rPr>
          <w:sz w:val="24"/>
        </w:rPr>
        <w:t>k</w:t>
      </w:r>
      <w:r w:rsidR="00D259A5" w:rsidRPr="00E50549">
        <w:rPr>
          <w:sz w:val="24"/>
        </w:rPr>
        <w:t>om</w:t>
      </w:r>
      <w:r w:rsidRPr="00E50549">
        <w:rPr>
          <w:sz w:val="24"/>
        </w:rPr>
        <w:t xml:space="preserve"> na valorizaciju i očuvanje </w:t>
      </w:r>
      <w:r w:rsidR="00D259A5" w:rsidRPr="00E50549">
        <w:rPr>
          <w:sz w:val="24"/>
        </w:rPr>
        <w:t>nematerijalne kulturne baštine</w:t>
      </w:r>
    </w:p>
    <w:p w14:paraId="1672C701" w14:textId="1648BDA9" w:rsidR="00953036" w:rsidRPr="00E50549" w:rsidRDefault="00953036" w:rsidP="006A0FCE">
      <w:pPr>
        <w:pStyle w:val="ListParagraph"/>
        <w:numPr>
          <w:ilvl w:val="0"/>
          <w:numId w:val="34"/>
        </w:numPr>
        <w:ind w:left="709" w:right="-330"/>
        <w:jc w:val="both"/>
        <w:rPr>
          <w:sz w:val="24"/>
        </w:rPr>
      </w:pPr>
      <w:r w:rsidRPr="00E50549">
        <w:rPr>
          <w:sz w:val="24"/>
        </w:rPr>
        <w:t>unaprjeđenje turističke ponude te sigurnost boravka turista</w:t>
      </w:r>
    </w:p>
    <w:p w14:paraId="10658B50" w14:textId="3A4D487F" w:rsidR="002B705D" w:rsidRPr="00E50549" w:rsidRDefault="00953036" w:rsidP="006A0FCE">
      <w:pPr>
        <w:pStyle w:val="ListParagraph"/>
        <w:numPr>
          <w:ilvl w:val="0"/>
          <w:numId w:val="34"/>
        </w:numPr>
        <w:ind w:left="709" w:right="-330"/>
        <w:jc w:val="both"/>
        <w:rPr>
          <w:sz w:val="24"/>
        </w:rPr>
      </w:pPr>
      <w:r w:rsidRPr="00E50549">
        <w:rPr>
          <w:sz w:val="24"/>
        </w:rPr>
        <w:t>naglasak na promocijske aktivnosti u vidu outdoor oglašavanja, digitalnih tehnologija i sl., na regionalnoj, nacionalnoj te međunarodnoj razini (Slovenija, Mađarska, Njemačka i sl.)</w:t>
      </w:r>
    </w:p>
    <w:p w14:paraId="0727AE7D" w14:textId="4BC6863F" w:rsidR="002B705D" w:rsidRPr="00E50549" w:rsidRDefault="002B705D" w:rsidP="006A0FCE">
      <w:pPr>
        <w:ind w:right="-330"/>
        <w:rPr>
          <w:rFonts w:ascii="Calibri" w:hAnsi="Calibri" w:cs="Calibri"/>
          <w:b/>
          <w:sz w:val="24"/>
          <w:szCs w:val="24"/>
        </w:rPr>
      </w:pPr>
      <w:r w:rsidRPr="00E50549">
        <w:rPr>
          <w:rFonts w:ascii="Calibri" w:hAnsi="Calibri" w:cs="Calibri"/>
          <w:b/>
          <w:sz w:val="24"/>
          <w:szCs w:val="24"/>
        </w:rPr>
        <w:t xml:space="preserve">Operativni ciljevi </w:t>
      </w:r>
      <w:r w:rsidRPr="00E50549">
        <w:rPr>
          <w:b/>
          <w:sz w:val="24"/>
          <w:szCs w:val="24"/>
        </w:rPr>
        <w:t>Turističke zajednice područja Središnja Podravina:</w:t>
      </w:r>
    </w:p>
    <w:p w14:paraId="185DA770" w14:textId="77777777" w:rsidR="002B705D" w:rsidRPr="00E50549" w:rsidRDefault="002B705D" w:rsidP="006A0FCE">
      <w:pPr>
        <w:pStyle w:val="ListParagraph"/>
        <w:numPr>
          <w:ilvl w:val="0"/>
          <w:numId w:val="32"/>
        </w:numPr>
        <w:spacing w:after="0" w:line="240" w:lineRule="auto"/>
        <w:ind w:right="-330"/>
        <w:jc w:val="both"/>
        <w:rPr>
          <w:rFonts w:ascii="Calibri" w:hAnsi="Calibri" w:cs="Calibri"/>
          <w:sz w:val="24"/>
          <w:szCs w:val="24"/>
        </w:rPr>
      </w:pPr>
      <w:r w:rsidRPr="00E50549">
        <w:rPr>
          <w:rFonts w:ascii="Calibri" w:hAnsi="Calibri" w:cs="Calibri"/>
          <w:sz w:val="24"/>
          <w:szCs w:val="24"/>
        </w:rPr>
        <w:t>Implementacija koncepcije razvoja turizma destinacije na način da raspoloživi prirodni i kulturni resursi ostaju sačuvani, uz primjerenu turističku valorizaciju;</w:t>
      </w:r>
    </w:p>
    <w:p w14:paraId="5BED25BD" w14:textId="77777777" w:rsidR="002B705D" w:rsidRPr="00E50549" w:rsidRDefault="002B705D" w:rsidP="006A0FCE">
      <w:pPr>
        <w:numPr>
          <w:ilvl w:val="0"/>
          <w:numId w:val="32"/>
        </w:numPr>
        <w:spacing w:after="0" w:line="240" w:lineRule="auto"/>
        <w:ind w:right="-330"/>
        <w:jc w:val="both"/>
        <w:rPr>
          <w:rFonts w:ascii="Calibri" w:hAnsi="Calibri" w:cs="Calibri"/>
          <w:sz w:val="24"/>
          <w:szCs w:val="24"/>
        </w:rPr>
      </w:pPr>
      <w:r w:rsidRPr="00E50549">
        <w:rPr>
          <w:rFonts w:ascii="Calibri" w:hAnsi="Calibri" w:cs="Calibri"/>
          <w:sz w:val="24"/>
          <w:szCs w:val="24"/>
        </w:rPr>
        <w:t>Osiguranje racionalnih temelja za donošenje odluka javnog i/ili privatnog sektora u svezi (turističkog) razvoja destinacije, te stvaranje uvjeta za njihovu efikasnu koordinaciju;</w:t>
      </w:r>
    </w:p>
    <w:p w14:paraId="33CDAA63" w14:textId="77777777" w:rsidR="002B705D" w:rsidRPr="00E50549" w:rsidRDefault="002B705D" w:rsidP="006A0FCE">
      <w:pPr>
        <w:numPr>
          <w:ilvl w:val="0"/>
          <w:numId w:val="32"/>
        </w:numPr>
        <w:spacing w:after="0" w:line="240" w:lineRule="auto"/>
        <w:ind w:right="-330"/>
        <w:jc w:val="both"/>
        <w:rPr>
          <w:rFonts w:ascii="Calibri" w:hAnsi="Calibri" w:cs="Calibri"/>
          <w:sz w:val="24"/>
          <w:szCs w:val="24"/>
        </w:rPr>
      </w:pPr>
      <w:r w:rsidRPr="00E50549">
        <w:rPr>
          <w:rFonts w:ascii="Calibri" w:hAnsi="Calibri" w:cs="Calibri"/>
          <w:sz w:val="24"/>
          <w:szCs w:val="24"/>
        </w:rPr>
        <w:t>Ostvarenje preduvjeta za usklađeni razvoj svih čimbenika značajnih za turizam i gospodarski razvoj područja u cjelini – sustavni pristup;</w:t>
      </w:r>
    </w:p>
    <w:p w14:paraId="740E72ED" w14:textId="77777777" w:rsidR="002B705D" w:rsidRPr="00E50549" w:rsidRDefault="002B705D" w:rsidP="006A0FCE">
      <w:pPr>
        <w:numPr>
          <w:ilvl w:val="0"/>
          <w:numId w:val="32"/>
        </w:numPr>
        <w:spacing w:after="0" w:line="240" w:lineRule="auto"/>
        <w:ind w:right="-330"/>
        <w:jc w:val="both"/>
        <w:rPr>
          <w:rFonts w:ascii="Calibri" w:hAnsi="Calibri" w:cs="Calibri"/>
          <w:sz w:val="24"/>
          <w:szCs w:val="24"/>
        </w:rPr>
      </w:pPr>
      <w:r w:rsidRPr="00E50549">
        <w:rPr>
          <w:rFonts w:ascii="Calibri" w:hAnsi="Calibri" w:cs="Calibri"/>
          <w:sz w:val="24"/>
          <w:szCs w:val="24"/>
        </w:rPr>
        <w:t>Ostvarivanje preduvjeta za nove investicije u području turizma i s njim direktno ili indirektno povezanim djelatnostima;</w:t>
      </w:r>
    </w:p>
    <w:p w14:paraId="695BDB91" w14:textId="77777777" w:rsidR="002B705D" w:rsidRPr="00E50549" w:rsidRDefault="002B705D" w:rsidP="006A0FCE">
      <w:pPr>
        <w:numPr>
          <w:ilvl w:val="0"/>
          <w:numId w:val="32"/>
        </w:numPr>
        <w:spacing w:after="0" w:line="240" w:lineRule="auto"/>
        <w:ind w:right="-330"/>
        <w:jc w:val="both"/>
        <w:rPr>
          <w:rFonts w:ascii="Calibri" w:hAnsi="Calibri" w:cs="Calibri"/>
          <w:sz w:val="24"/>
          <w:szCs w:val="24"/>
        </w:rPr>
      </w:pPr>
      <w:r w:rsidRPr="00E50549">
        <w:rPr>
          <w:rFonts w:ascii="Calibri" w:hAnsi="Calibri" w:cs="Calibri"/>
          <w:sz w:val="24"/>
          <w:szCs w:val="24"/>
        </w:rPr>
        <w:t>Formiranje institucionalnog okvira za upravljanje turističkom destinacijom i temelja za stalni monitoring procesa turističkog razvoja – turističko planiranje kao kontinuiran i fleksibilan proces.</w:t>
      </w:r>
    </w:p>
    <w:p w14:paraId="27B28867" w14:textId="4F141834" w:rsidR="002B705D" w:rsidRDefault="002B705D" w:rsidP="006A0FCE">
      <w:pPr>
        <w:ind w:left="709" w:right="-330" w:firstLine="11"/>
        <w:jc w:val="both"/>
        <w:rPr>
          <w:sz w:val="24"/>
        </w:rPr>
      </w:pPr>
    </w:p>
    <w:p w14:paraId="50F1595B" w14:textId="40AA09C2" w:rsidR="00E50549" w:rsidRDefault="00E50549" w:rsidP="006A0FCE">
      <w:pPr>
        <w:ind w:left="709" w:right="-330" w:firstLine="11"/>
        <w:jc w:val="both"/>
        <w:rPr>
          <w:sz w:val="24"/>
        </w:rPr>
      </w:pPr>
    </w:p>
    <w:p w14:paraId="31A45F50" w14:textId="4730F27C" w:rsidR="00750FC4" w:rsidRPr="00E50549" w:rsidRDefault="00750FC4" w:rsidP="00190090">
      <w:pPr>
        <w:ind w:right="-330"/>
        <w:jc w:val="both"/>
        <w:rPr>
          <w:sz w:val="24"/>
        </w:rPr>
      </w:pPr>
    </w:p>
    <w:p w14:paraId="61354D67" w14:textId="222BD738" w:rsidR="00953036" w:rsidRPr="00E50549" w:rsidRDefault="00953036" w:rsidP="006A0FCE">
      <w:pPr>
        <w:ind w:right="-330"/>
        <w:rPr>
          <w:rFonts w:ascii="Calibri" w:hAnsi="Calibri" w:cs="Calibri"/>
          <w:b/>
          <w:sz w:val="24"/>
          <w:szCs w:val="26"/>
        </w:rPr>
      </w:pPr>
      <w:r w:rsidRPr="00E50549">
        <w:rPr>
          <w:rFonts w:ascii="Calibri" w:hAnsi="Calibri" w:cs="Calibri"/>
          <w:b/>
          <w:sz w:val="24"/>
          <w:szCs w:val="26"/>
        </w:rPr>
        <w:lastRenderedPageBreak/>
        <w:t>Procjena obujma turističkog prometa za 202</w:t>
      </w:r>
      <w:r w:rsidR="00C155C2" w:rsidRPr="00E50549">
        <w:rPr>
          <w:rFonts w:ascii="Calibri" w:hAnsi="Calibri" w:cs="Calibri"/>
          <w:b/>
          <w:sz w:val="24"/>
          <w:szCs w:val="26"/>
        </w:rPr>
        <w:t>2</w:t>
      </w:r>
      <w:r w:rsidRPr="00E50549">
        <w:rPr>
          <w:rFonts w:ascii="Calibri" w:hAnsi="Calibri" w:cs="Calibri"/>
          <w:b/>
          <w:sz w:val="24"/>
          <w:szCs w:val="26"/>
        </w:rPr>
        <w:t xml:space="preserve">. godinu: </w:t>
      </w:r>
    </w:p>
    <w:p w14:paraId="54E75F54" w14:textId="67733138" w:rsidR="00953036" w:rsidRPr="00E50549" w:rsidRDefault="00953036" w:rsidP="006A0FCE">
      <w:pPr>
        <w:ind w:right="-330"/>
        <w:rPr>
          <w:rFonts w:ascii="Calibri" w:hAnsi="Calibri" w:cs="Calibri"/>
          <w:sz w:val="24"/>
          <w:szCs w:val="24"/>
        </w:rPr>
      </w:pPr>
      <w:r w:rsidRPr="00E50549">
        <w:rPr>
          <w:rFonts w:ascii="Calibri" w:hAnsi="Calibri" w:cs="Calibri"/>
          <w:sz w:val="24"/>
          <w:szCs w:val="24"/>
          <w:u w:val="single"/>
        </w:rPr>
        <w:t>Ostvaren turistički pro</w:t>
      </w:r>
      <w:r w:rsidR="002104BC" w:rsidRPr="00E50549">
        <w:rPr>
          <w:rFonts w:ascii="Calibri" w:hAnsi="Calibri" w:cs="Calibri"/>
          <w:sz w:val="24"/>
          <w:szCs w:val="24"/>
          <w:u w:val="single"/>
        </w:rPr>
        <w:t>met od Siječnja do Studenog 2021</w:t>
      </w:r>
      <w:r w:rsidRPr="00E50549">
        <w:rPr>
          <w:rFonts w:ascii="Calibri" w:hAnsi="Calibri" w:cs="Calibri"/>
          <w:sz w:val="24"/>
          <w:szCs w:val="24"/>
        </w:rPr>
        <w:t>.:</w:t>
      </w:r>
      <w:r w:rsidRPr="00E50549">
        <w:rPr>
          <w:rStyle w:val="FootnoteReference"/>
          <w:rFonts w:ascii="Calibri" w:hAnsi="Calibri" w:cs="Calibri"/>
          <w:sz w:val="24"/>
          <w:szCs w:val="24"/>
        </w:rPr>
        <w:footnoteReference w:id="1"/>
      </w:r>
    </w:p>
    <w:p w14:paraId="4B40FD78" w14:textId="6056C067" w:rsidR="00953036" w:rsidRPr="00E50549" w:rsidRDefault="00953036" w:rsidP="006A0FCE">
      <w:pPr>
        <w:ind w:right="-330"/>
        <w:rPr>
          <w:rFonts w:ascii="Calibri" w:hAnsi="Calibri" w:cs="Calibri"/>
          <w:sz w:val="24"/>
          <w:szCs w:val="24"/>
        </w:rPr>
      </w:pPr>
      <w:r w:rsidRPr="00E50549">
        <w:rPr>
          <w:rFonts w:ascii="Calibri" w:hAnsi="Calibri" w:cs="Calibri"/>
          <w:sz w:val="24"/>
          <w:szCs w:val="24"/>
        </w:rPr>
        <w:tab/>
      </w:r>
      <w:r w:rsidRPr="00E50549">
        <w:rPr>
          <w:rFonts w:ascii="Calibri" w:hAnsi="Calibri" w:cs="Calibri"/>
          <w:sz w:val="24"/>
          <w:szCs w:val="24"/>
        </w:rPr>
        <w:tab/>
        <w:t>-</w:t>
      </w:r>
      <w:r w:rsidR="008F4154" w:rsidRPr="00E50549">
        <w:rPr>
          <w:rFonts w:ascii="Calibri" w:hAnsi="Calibri" w:cs="Calibri"/>
          <w:sz w:val="24"/>
          <w:szCs w:val="24"/>
        </w:rPr>
        <w:t xml:space="preserve"> broj ostvarenih dolazaka: 327</w:t>
      </w:r>
    </w:p>
    <w:p w14:paraId="1748CA46" w14:textId="3D592B20" w:rsidR="00953036" w:rsidRPr="00E50549" w:rsidRDefault="00953036" w:rsidP="006A0FCE">
      <w:pPr>
        <w:ind w:right="-330"/>
        <w:rPr>
          <w:rFonts w:ascii="Calibri" w:hAnsi="Calibri" w:cs="Calibri"/>
          <w:sz w:val="24"/>
          <w:szCs w:val="24"/>
        </w:rPr>
      </w:pPr>
      <w:r w:rsidRPr="00E50549">
        <w:rPr>
          <w:rFonts w:ascii="Calibri" w:hAnsi="Calibri" w:cs="Calibri"/>
          <w:sz w:val="24"/>
          <w:szCs w:val="24"/>
        </w:rPr>
        <w:tab/>
      </w:r>
      <w:r w:rsidRPr="00E50549">
        <w:rPr>
          <w:rFonts w:ascii="Calibri" w:hAnsi="Calibri" w:cs="Calibri"/>
          <w:sz w:val="24"/>
          <w:szCs w:val="24"/>
        </w:rPr>
        <w:tab/>
        <w:t xml:space="preserve">- </w:t>
      </w:r>
      <w:r w:rsidR="008F4154" w:rsidRPr="00E50549">
        <w:rPr>
          <w:rFonts w:ascii="Calibri" w:hAnsi="Calibri" w:cs="Calibri"/>
          <w:sz w:val="24"/>
          <w:szCs w:val="24"/>
        </w:rPr>
        <w:t>broj ostvarenih noćenja: 865</w:t>
      </w:r>
    </w:p>
    <w:p w14:paraId="5E84A590" w14:textId="3F78CC56" w:rsidR="00953036" w:rsidRPr="00E50549" w:rsidRDefault="00953036" w:rsidP="006A0FCE">
      <w:pPr>
        <w:ind w:right="-330"/>
        <w:rPr>
          <w:rFonts w:ascii="Calibri" w:hAnsi="Calibri" w:cs="Calibri"/>
          <w:sz w:val="24"/>
          <w:szCs w:val="24"/>
        </w:rPr>
      </w:pPr>
      <w:r w:rsidRPr="00E50549">
        <w:rPr>
          <w:rFonts w:ascii="Calibri" w:hAnsi="Calibri" w:cs="Calibri"/>
          <w:sz w:val="24"/>
          <w:szCs w:val="24"/>
        </w:rPr>
        <w:tab/>
        <w:t xml:space="preserve">Obzirom </w:t>
      </w:r>
      <w:r w:rsidR="008F4154" w:rsidRPr="00E50549">
        <w:rPr>
          <w:rFonts w:ascii="Calibri" w:hAnsi="Calibri" w:cs="Calibri"/>
          <w:sz w:val="24"/>
          <w:szCs w:val="24"/>
        </w:rPr>
        <w:t>na pandemiju korona virusa, 2021</w:t>
      </w:r>
      <w:r w:rsidRPr="00E50549">
        <w:rPr>
          <w:rFonts w:ascii="Calibri" w:hAnsi="Calibri" w:cs="Calibri"/>
          <w:sz w:val="24"/>
          <w:szCs w:val="24"/>
        </w:rPr>
        <w:t xml:space="preserve">. godina ne predstavlja reprezentativnu godinu stvarnog stanja turističkog prometa uslijed smanjenog broja kretanja turista, zabrane kretanja (zatvorene granice) te </w:t>
      </w:r>
      <w:r w:rsidR="008F4154" w:rsidRPr="00E50549">
        <w:rPr>
          <w:rFonts w:ascii="Calibri" w:hAnsi="Calibri" w:cs="Calibri"/>
          <w:sz w:val="24"/>
          <w:szCs w:val="24"/>
        </w:rPr>
        <w:t>ostalih restrikcija,</w:t>
      </w:r>
      <w:r w:rsidRPr="00E50549">
        <w:rPr>
          <w:rFonts w:ascii="Calibri" w:hAnsi="Calibri" w:cs="Calibri"/>
          <w:sz w:val="24"/>
          <w:szCs w:val="24"/>
        </w:rPr>
        <w:t xml:space="preserve"> što objašnjava razliku između broja dolazaka i broja noćenja. Zaključno, predstavljeni podaci ne prikazuju stvarno</w:t>
      </w:r>
      <w:r w:rsidR="008F4154" w:rsidRPr="00E50549">
        <w:rPr>
          <w:rFonts w:ascii="Calibri" w:hAnsi="Calibri" w:cs="Calibri"/>
          <w:sz w:val="24"/>
          <w:szCs w:val="24"/>
        </w:rPr>
        <w:t xml:space="preserve"> stanje turističkog prometa 2021</w:t>
      </w:r>
      <w:r w:rsidRPr="00E50549">
        <w:rPr>
          <w:rFonts w:ascii="Calibri" w:hAnsi="Calibri" w:cs="Calibri"/>
          <w:sz w:val="24"/>
          <w:szCs w:val="24"/>
        </w:rPr>
        <w:t xml:space="preserve">. godine. </w:t>
      </w:r>
    </w:p>
    <w:p w14:paraId="21D05FC1" w14:textId="3411AD00" w:rsidR="00953036" w:rsidRPr="00E50549" w:rsidRDefault="00953036" w:rsidP="006A0FCE">
      <w:pPr>
        <w:ind w:right="-330"/>
        <w:rPr>
          <w:rFonts w:ascii="Calibri" w:hAnsi="Calibri" w:cs="Calibri"/>
          <w:sz w:val="24"/>
          <w:szCs w:val="24"/>
          <w:u w:val="single"/>
        </w:rPr>
      </w:pPr>
      <w:r w:rsidRPr="00E50549">
        <w:rPr>
          <w:rFonts w:ascii="Calibri" w:hAnsi="Calibri" w:cs="Calibri"/>
          <w:sz w:val="24"/>
          <w:szCs w:val="24"/>
          <w:u w:val="single"/>
        </w:rPr>
        <w:t>Procjena fizičkog obujma turisti</w:t>
      </w:r>
      <w:r w:rsidR="002104BC" w:rsidRPr="00E50549">
        <w:rPr>
          <w:rFonts w:ascii="Calibri" w:hAnsi="Calibri" w:cs="Calibri"/>
          <w:sz w:val="24"/>
          <w:szCs w:val="24"/>
          <w:u w:val="single"/>
        </w:rPr>
        <w:t>čkog prometa u 2022</w:t>
      </w:r>
      <w:r w:rsidRPr="00E50549">
        <w:rPr>
          <w:rFonts w:ascii="Calibri" w:hAnsi="Calibri" w:cs="Calibri"/>
          <w:sz w:val="24"/>
          <w:szCs w:val="24"/>
          <w:u w:val="single"/>
        </w:rPr>
        <w:t>.:</w:t>
      </w:r>
    </w:p>
    <w:p w14:paraId="51F62BCE" w14:textId="7140115E" w:rsidR="00953036" w:rsidRPr="00E50549" w:rsidRDefault="00953036" w:rsidP="006A0FCE">
      <w:pPr>
        <w:ind w:right="-330"/>
        <w:rPr>
          <w:rFonts w:ascii="Calibri" w:hAnsi="Calibri" w:cs="Calibri"/>
          <w:sz w:val="24"/>
          <w:szCs w:val="24"/>
        </w:rPr>
      </w:pPr>
      <w:r w:rsidRPr="00E50549">
        <w:rPr>
          <w:rFonts w:ascii="Calibri" w:hAnsi="Calibri" w:cs="Calibri"/>
          <w:sz w:val="24"/>
          <w:szCs w:val="24"/>
        </w:rPr>
        <w:t>- povećanje broja dolazaka domaćih turista za 10% te</w:t>
      </w:r>
      <w:r w:rsidR="008F4154" w:rsidRPr="00E50549">
        <w:rPr>
          <w:rFonts w:ascii="Calibri" w:hAnsi="Calibri" w:cs="Calibri"/>
          <w:sz w:val="24"/>
          <w:szCs w:val="24"/>
        </w:rPr>
        <w:t xml:space="preserve"> stranih za 20% u odnosu na 2021</w:t>
      </w:r>
      <w:r w:rsidRPr="00E50549">
        <w:rPr>
          <w:rFonts w:ascii="Calibri" w:hAnsi="Calibri" w:cs="Calibri"/>
          <w:sz w:val="24"/>
          <w:szCs w:val="24"/>
        </w:rPr>
        <w:t>. g</w:t>
      </w:r>
    </w:p>
    <w:p w14:paraId="58477AF3" w14:textId="5D71E3A6" w:rsidR="00953036" w:rsidRPr="00E50549" w:rsidRDefault="008F4154" w:rsidP="006A0FCE">
      <w:pPr>
        <w:ind w:right="-330"/>
        <w:rPr>
          <w:rFonts w:ascii="Calibri" w:hAnsi="Calibri" w:cs="Calibri"/>
          <w:sz w:val="24"/>
          <w:szCs w:val="24"/>
        </w:rPr>
      </w:pPr>
      <w:r w:rsidRPr="00E50549">
        <w:rPr>
          <w:rFonts w:ascii="Calibri" w:hAnsi="Calibri" w:cs="Calibri"/>
          <w:sz w:val="24"/>
          <w:szCs w:val="24"/>
        </w:rPr>
        <w:t>- povećanje broja noćenja za 20% u odnosu na 2021</w:t>
      </w:r>
      <w:r w:rsidR="00E50549" w:rsidRPr="00E50549">
        <w:rPr>
          <w:rFonts w:ascii="Calibri" w:hAnsi="Calibri" w:cs="Calibri"/>
          <w:sz w:val="24"/>
          <w:szCs w:val="24"/>
        </w:rPr>
        <w:t>. godinu</w:t>
      </w:r>
    </w:p>
    <w:p w14:paraId="265A3009" w14:textId="77777777" w:rsidR="00953036" w:rsidRDefault="00953036" w:rsidP="006A0FCE">
      <w:pPr>
        <w:ind w:right="-330"/>
        <w:jc w:val="both"/>
      </w:pPr>
    </w:p>
    <w:p w14:paraId="7703181A" w14:textId="12FF7CCF" w:rsidR="00953036" w:rsidRPr="00AF6A47" w:rsidRDefault="00953036" w:rsidP="006A0FCE">
      <w:pPr>
        <w:pStyle w:val="Glavninaslov"/>
        <w:numPr>
          <w:ilvl w:val="0"/>
          <w:numId w:val="18"/>
        </w:numPr>
        <w:ind w:right="-330"/>
        <w:rPr>
          <w:rFonts w:ascii="Calibri" w:hAnsi="Calibri" w:cs="Calibri"/>
          <w:color w:val="auto"/>
          <w:sz w:val="32"/>
          <w:szCs w:val="32"/>
        </w:rPr>
      </w:pPr>
      <w:bookmarkStart w:id="0" w:name="_Toc57642677"/>
      <w:r w:rsidRPr="00AF6A47">
        <w:rPr>
          <w:rFonts w:ascii="Calibri" w:hAnsi="Calibri" w:cs="Calibri"/>
          <w:color w:val="auto"/>
          <w:sz w:val="32"/>
          <w:szCs w:val="32"/>
        </w:rPr>
        <w:t>PLAN PRIHODA</w:t>
      </w:r>
      <w:bookmarkEnd w:id="0"/>
    </w:p>
    <w:p w14:paraId="4CC092C8" w14:textId="77777777" w:rsidR="00953036" w:rsidRPr="00AF6A47" w:rsidRDefault="00953036" w:rsidP="006A0FCE">
      <w:pPr>
        <w:pStyle w:val="Glavninaslov"/>
        <w:numPr>
          <w:ilvl w:val="0"/>
          <w:numId w:val="0"/>
        </w:numPr>
        <w:ind w:right="-330"/>
        <w:rPr>
          <w:rFonts w:ascii="Calibri" w:hAnsi="Calibri" w:cs="Calibri"/>
          <w:color w:val="auto"/>
          <w:sz w:val="28"/>
        </w:rPr>
      </w:pPr>
    </w:p>
    <w:p w14:paraId="12CBEDE2" w14:textId="32BCD56E" w:rsidR="00953036" w:rsidRPr="00E50549" w:rsidRDefault="008F4154" w:rsidP="006A0FCE">
      <w:pPr>
        <w:ind w:right="-330"/>
        <w:rPr>
          <w:rFonts w:ascii="Calibri" w:eastAsia="Times New Roman" w:hAnsi="Calibri" w:cs="Calibri"/>
          <w:bCs/>
          <w:sz w:val="24"/>
          <w:szCs w:val="24"/>
        </w:rPr>
      </w:pPr>
      <w:r w:rsidRPr="00E50549">
        <w:rPr>
          <w:rFonts w:ascii="Calibri" w:eastAsia="Times New Roman" w:hAnsi="Calibri" w:cs="Calibri"/>
          <w:bCs/>
          <w:sz w:val="24"/>
          <w:szCs w:val="24"/>
        </w:rPr>
        <w:t>Tijekom 2022</w:t>
      </w:r>
      <w:r w:rsidR="00953036" w:rsidRPr="00E50549">
        <w:rPr>
          <w:rFonts w:ascii="Calibri" w:eastAsia="Times New Roman" w:hAnsi="Calibri" w:cs="Calibri"/>
          <w:bCs/>
          <w:sz w:val="24"/>
          <w:szCs w:val="24"/>
        </w:rPr>
        <w:t xml:space="preserve">. godine planiraju se ostvariti ukupni prihodi u iznosu od </w:t>
      </w:r>
      <w:r w:rsidR="00B24DDA">
        <w:rPr>
          <w:rFonts w:ascii="Calibri" w:eastAsia="Times New Roman" w:hAnsi="Calibri" w:cs="Calibri"/>
          <w:b/>
          <w:bCs/>
          <w:sz w:val="24"/>
          <w:szCs w:val="24"/>
        </w:rPr>
        <w:t>90</w:t>
      </w:r>
      <w:r w:rsidRPr="00E50549">
        <w:rPr>
          <w:rFonts w:ascii="Calibri" w:eastAsia="Times New Roman" w:hAnsi="Calibri" w:cs="Calibri"/>
          <w:b/>
          <w:bCs/>
          <w:sz w:val="24"/>
          <w:szCs w:val="24"/>
        </w:rPr>
        <w:t>2.000</w:t>
      </w:r>
      <w:r w:rsidR="00953036" w:rsidRPr="00E50549">
        <w:rPr>
          <w:rFonts w:ascii="Calibri" w:eastAsia="Times New Roman" w:hAnsi="Calibri" w:cs="Calibri"/>
          <w:b/>
          <w:bCs/>
          <w:sz w:val="24"/>
          <w:szCs w:val="24"/>
        </w:rPr>
        <w:t>,00</w:t>
      </w:r>
      <w:r w:rsidR="00953036" w:rsidRPr="00E50549">
        <w:rPr>
          <w:rFonts w:ascii="Calibri" w:eastAsia="Times New Roman" w:hAnsi="Calibri" w:cs="Calibri"/>
          <w:bCs/>
          <w:sz w:val="24"/>
          <w:szCs w:val="24"/>
        </w:rPr>
        <w:t xml:space="preserve"> kuna. Kod planiranja prihoda uzeti su u obzir slijedeći preduvjeti i okolnosti: </w:t>
      </w:r>
    </w:p>
    <w:p w14:paraId="3471A7CE" w14:textId="77777777" w:rsidR="00953036" w:rsidRPr="00AF6A47" w:rsidRDefault="00953036" w:rsidP="006A0FCE">
      <w:pPr>
        <w:ind w:right="-330"/>
        <w:rPr>
          <w:rFonts w:ascii="Calibri" w:eastAsia="Times New Roman" w:hAnsi="Calibri" w:cs="Calibri"/>
          <w:bCs/>
          <w:szCs w:val="24"/>
        </w:rPr>
      </w:pPr>
    </w:p>
    <w:p w14:paraId="073F663A" w14:textId="36A50E02" w:rsidR="00953036" w:rsidRPr="00E50549" w:rsidRDefault="00953036" w:rsidP="006A0FCE">
      <w:pPr>
        <w:ind w:right="-330"/>
        <w:rPr>
          <w:rFonts w:ascii="Calibri" w:eastAsia="Times New Roman" w:hAnsi="Calibri" w:cs="Calibri"/>
          <w:b/>
          <w:bCs/>
          <w:sz w:val="24"/>
          <w:szCs w:val="24"/>
        </w:rPr>
      </w:pPr>
      <w:r w:rsidRPr="00E50549">
        <w:rPr>
          <w:rFonts w:ascii="Calibri" w:eastAsia="Times New Roman" w:hAnsi="Calibri" w:cs="Calibri"/>
          <w:b/>
          <w:bCs/>
          <w:sz w:val="24"/>
          <w:szCs w:val="24"/>
        </w:rPr>
        <w:t xml:space="preserve">2.1. IZVORNI PRIHODI </w:t>
      </w:r>
    </w:p>
    <w:p w14:paraId="75174208" w14:textId="0233D1CB" w:rsidR="008F4154" w:rsidRPr="00E50549" w:rsidRDefault="008F4154" w:rsidP="006A0FCE">
      <w:pPr>
        <w:ind w:right="-330"/>
        <w:rPr>
          <w:rFonts w:ascii="Calibri" w:eastAsia="Times New Roman" w:hAnsi="Calibri" w:cs="Calibri"/>
          <w:bCs/>
          <w:sz w:val="24"/>
          <w:szCs w:val="24"/>
        </w:rPr>
      </w:pPr>
      <w:r w:rsidRPr="00E50549">
        <w:rPr>
          <w:rFonts w:ascii="Calibri" w:eastAsia="Times New Roman" w:hAnsi="Calibri" w:cs="Calibri"/>
          <w:bCs/>
          <w:sz w:val="24"/>
          <w:szCs w:val="24"/>
        </w:rPr>
        <w:t xml:space="preserve">- izmjene Zakona o turističkoj članarini usvojene u prosincu 2020. kojim se smanjuje visina članarina za 12% </w:t>
      </w:r>
    </w:p>
    <w:p w14:paraId="379D98FD" w14:textId="77777777" w:rsidR="00953036" w:rsidRPr="00E50549" w:rsidRDefault="00953036" w:rsidP="006A0FCE">
      <w:pPr>
        <w:ind w:right="-330"/>
        <w:rPr>
          <w:rFonts w:ascii="Calibri" w:eastAsia="Times New Roman" w:hAnsi="Calibri" w:cs="Calibri"/>
          <w:bCs/>
          <w:sz w:val="24"/>
          <w:szCs w:val="24"/>
        </w:rPr>
      </w:pPr>
      <w:r w:rsidRPr="00E50549">
        <w:rPr>
          <w:rFonts w:ascii="Calibri" w:eastAsia="Times New Roman" w:hAnsi="Calibri" w:cs="Calibri"/>
          <w:bCs/>
          <w:sz w:val="24"/>
          <w:szCs w:val="24"/>
        </w:rPr>
        <w:t xml:space="preserve">- očekivani pad osnovice za obračun članarine zbog COVID 19 epidemije i općeg pada gospodarske aktivnosti i vjerojatno oslobađanja od naplate dijela boravišnog paušala dovesti će do pada izvornih prihoda za 25% u odnosu na pred kriznu 2019.g. </w:t>
      </w:r>
    </w:p>
    <w:p w14:paraId="3402FCE0" w14:textId="16B35751" w:rsidR="00953036" w:rsidRPr="00E50549" w:rsidRDefault="00274578" w:rsidP="006A0FCE">
      <w:pPr>
        <w:ind w:right="-330"/>
        <w:rPr>
          <w:rFonts w:ascii="Calibri" w:eastAsia="Times New Roman" w:hAnsi="Calibri" w:cs="Calibri"/>
          <w:bCs/>
          <w:sz w:val="24"/>
          <w:szCs w:val="24"/>
        </w:rPr>
      </w:pPr>
      <w:r w:rsidRPr="00E50549">
        <w:rPr>
          <w:rFonts w:ascii="Calibri" w:eastAsia="Times New Roman" w:hAnsi="Calibri" w:cs="Calibri"/>
          <w:bCs/>
          <w:sz w:val="24"/>
          <w:szCs w:val="24"/>
        </w:rPr>
        <w:t>- TZP SP</w:t>
      </w:r>
      <w:r w:rsidR="00953036" w:rsidRPr="00E50549">
        <w:rPr>
          <w:rFonts w:ascii="Calibri" w:eastAsia="Times New Roman" w:hAnsi="Calibri" w:cs="Calibri"/>
          <w:bCs/>
          <w:sz w:val="24"/>
          <w:szCs w:val="24"/>
        </w:rPr>
        <w:t xml:space="preserve"> će voditi kontinuiranu komunikaciju s poreznom upravom, turističkom inspekcijom te GU HTZ-a radi što učinkovitije naplate članarine i turističke pristojbe</w:t>
      </w:r>
    </w:p>
    <w:p w14:paraId="6A692AFB" w14:textId="5F731D42" w:rsidR="00953036" w:rsidRPr="00E50549" w:rsidRDefault="00953036" w:rsidP="006A0FCE">
      <w:pPr>
        <w:ind w:right="-330"/>
        <w:rPr>
          <w:rFonts w:ascii="Calibri" w:eastAsia="Times New Roman" w:hAnsi="Calibri" w:cs="Calibri"/>
          <w:bCs/>
          <w:sz w:val="24"/>
          <w:szCs w:val="24"/>
        </w:rPr>
      </w:pPr>
      <w:r w:rsidRPr="00E50549">
        <w:rPr>
          <w:rFonts w:ascii="Calibri" w:eastAsia="Times New Roman" w:hAnsi="Calibri" w:cs="Calibri"/>
          <w:bCs/>
          <w:sz w:val="24"/>
          <w:szCs w:val="24"/>
        </w:rPr>
        <w:t>- plan</w:t>
      </w:r>
      <w:r w:rsidR="008F4154" w:rsidRPr="00E50549">
        <w:rPr>
          <w:rFonts w:ascii="Calibri" w:eastAsia="Times New Roman" w:hAnsi="Calibri" w:cs="Calibri"/>
          <w:bCs/>
          <w:sz w:val="24"/>
          <w:szCs w:val="24"/>
        </w:rPr>
        <w:t>irani izvorni prihodi iznose 47</w:t>
      </w:r>
      <w:r w:rsidRPr="00E50549">
        <w:rPr>
          <w:rFonts w:ascii="Calibri" w:eastAsia="Times New Roman" w:hAnsi="Calibri" w:cs="Calibri"/>
          <w:bCs/>
          <w:sz w:val="24"/>
          <w:szCs w:val="24"/>
        </w:rPr>
        <w:t xml:space="preserve">.000,00 kn </w:t>
      </w:r>
    </w:p>
    <w:p w14:paraId="5FA2D964" w14:textId="77777777" w:rsidR="00953036" w:rsidRPr="00E50549" w:rsidRDefault="00953036" w:rsidP="006A0FCE">
      <w:pPr>
        <w:ind w:right="-330"/>
        <w:rPr>
          <w:rFonts w:ascii="Calibri" w:eastAsia="Times New Roman" w:hAnsi="Calibri" w:cs="Calibri"/>
          <w:bCs/>
          <w:sz w:val="24"/>
          <w:szCs w:val="24"/>
        </w:rPr>
      </w:pPr>
    </w:p>
    <w:p w14:paraId="057AB4FD" w14:textId="77777777" w:rsidR="00953036" w:rsidRPr="00E50549" w:rsidRDefault="00953036" w:rsidP="006A0FCE">
      <w:pPr>
        <w:ind w:right="-330"/>
        <w:rPr>
          <w:rFonts w:ascii="Calibri" w:eastAsia="Times New Roman" w:hAnsi="Calibri" w:cs="Calibri"/>
          <w:b/>
          <w:bCs/>
          <w:sz w:val="24"/>
          <w:szCs w:val="24"/>
        </w:rPr>
      </w:pPr>
      <w:r w:rsidRPr="00E50549">
        <w:rPr>
          <w:rFonts w:ascii="Calibri" w:eastAsia="Times New Roman" w:hAnsi="Calibri" w:cs="Calibri"/>
          <w:b/>
          <w:bCs/>
          <w:sz w:val="24"/>
          <w:szCs w:val="24"/>
        </w:rPr>
        <w:t>2.2. PRIHODI IZ PRORAČUNA</w:t>
      </w:r>
    </w:p>
    <w:p w14:paraId="4F7DF15A" w14:textId="308ED2D6" w:rsidR="00953036" w:rsidRPr="00E50549" w:rsidRDefault="00953036" w:rsidP="006A0FCE">
      <w:pPr>
        <w:ind w:right="-330"/>
        <w:rPr>
          <w:rFonts w:ascii="Calibri" w:eastAsia="Times New Roman" w:hAnsi="Calibri" w:cs="Calibri"/>
          <w:bCs/>
          <w:sz w:val="24"/>
          <w:szCs w:val="24"/>
        </w:rPr>
      </w:pPr>
      <w:r w:rsidRPr="00E50549">
        <w:rPr>
          <w:rFonts w:ascii="Calibri" w:eastAsia="Times New Roman" w:hAnsi="Calibri" w:cs="Calibri"/>
          <w:bCs/>
          <w:sz w:val="24"/>
          <w:szCs w:val="24"/>
        </w:rPr>
        <w:t xml:space="preserve">- odlukom o proračunu </w:t>
      </w:r>
      <w:r w:rsidR="008F4154" w:rsidRPr="00E50549">
        <w:rPr>
          <w:rFonts w:ascii="Calibri" w:eastAsia="Times New Roman" w:hAnsi="Calibri" w:cs="Calibri"/>
          <w:bCs/>
          <w:sz w:val="24"/>
          <w:szCs w:val="24"/>
        </w:rPr>
        <w:t>uključenih općina područja Središnja Podravina (6 općina) utvrđena je potpora za rad TZP</w:t>
      </w:r>
      <w:r w:rsidRPr="00E50549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8F4154" w:rsidRPr="00E50549">
        <w:rPr>
          <w:rFonts w:ascii="Calibri" w:eastAsia="Times New Roman" w:hAnsi="Calibri" w:cs="Calibri"/>
          <w:bCs/>
          <w:sz w:val="24"/>
          <w:szCs w:val="24"/>
        </w:rPr>
        <w:t>SP u visini 155</w:t>
      </w:r>
      <w:r w:rsidRPr="00E50549">
        <w:rPr>
          <w:rFonts w:ascii="Calibri" w:eastAsia="Times New Roman" w:hAnsi="Calibri" w:cs="Calibri"/>
          <w:bCs/>
          <w:sz w:val="24"/>
          <w:szCs w:val="24"/>
        </w:rPr>
        <w:t xml:space="preserve">.000,00 kuna </w:t>
      </w:r>
    </w:p>
    <w:p w14:paraId="2DA0E050" w14:textId="77777777" w:rsidR="00953036" w:rsidRPr="00E50549" w:rsidRDefault="00953036" w:rsidP="006A0FCE">
      <w:pPr>
        <w:ind w:right="-330"/>
        <w:rPr>
          <w:rFonts w:ascii="Calibri" w:eastAsia="Times New Roman" w:hAnsi="Calibri" w:cs="Calibri"/>
          <w:bCs/>
          <w:sz w:val="24"/>
          <w:szCs w:val="24"/>
        </w:rPr>
      </w:pPr>
    </w:p>
    <w:p w14:paraId="0FCA3601" w14:textId="77777777" w:rsidR="00953036" w:rsidRPr="00E50549" w:rsidRDefault="00953036" w:rsidP="006A0FCE">
      <w:pPr>
        <w:ind w:right="-330"/>
        <w:rPr>
          <w:rFonts w:ascii="Calibri" w:eastAsia="Times New Roman" w:hAnsi="Calibri" w:cs="Calibri"/>
          <w:b/>
          <w:bCs/>
          <w:sz w:val="24"/>
          <w:szCs w:val="24"/>
        </w:rPr>
      </w:pPr>
      <w:r w:rsidRPr="00E50549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 xml:space="preserve">2.3. PRIHODI OD SUSTAVA TURISTIČKIH ZAJEDNICA </w:t>
      </w:r>
    </w:p>
    <w:p w14:paraId="5F49396B" w14:textId="3D3E3F8F" w:rsidR="00E50549" w:rsidRDefault="00953036" w:rsidP="006A0FCE">
      <w:pPr>
        <w:ind w:right="-330"/>
        <w:rPr>
          <w:rFonts w:ascii="Calibri" w:eastAsia="Times New Roman" w:hAnsi="Calibri" w:cs="Calibri"/>
          <w:bCs/>
          <w:sz w:val="24"/>
          <w:szCs w:val="24"/>
        </w:rPr>
      </w:pPr>
      <w:r w:rsidRPr="00E50549">
        <w:rPr>
          <w:rFonts w:ascii="Calibri" w:eastAsia="Times New Roman" w:hAnsi="Calibri" w:cs="Calibri"/>
          <w:bCs/>
          <w:sz w:val="24"/>
          <w:szCs w:val="24"/>
        </w:rPr>
        <w:t>- temeljem pra</w:t>
      </w:r>
      <w:r w:rsidR="00274578" w:rsidRPr="00E50549">
        <w:rPr>
          <w:rFonts w:ascii="Calibri" w:eastAsia="Times New Roman" w:hAnsi="Calibri" w:cs="Calibri"/>
          <w:bCs/>
          <w:sz w:val="24"/>
          <w:szCs w:val="24"/>
        </w:rPr>
        <w:t>vilnika i javnih poziva HTZ-a,</w:t>
      </w:r>
      <w:r w:rsidRPr="00E50549">
        <w:rPr>
          <w:rFonts w:ascii="Calibri" w:eastAsia="Times New Roman" w:hAnsi="Calibri" w:cs="Calibri"/>
          <w:bCs/>
          <w:sz w:val="24"/>
          <w:szCs w:val="24"/>
        </w:rPr>
        <w:t xml:space="preserve"> javnih poziva za udruženo oglašavanje, financiranje projekata iz fonda za turistički nedovoljno razvijena područja i kontinent, fonda za udružene turističke zajednice, te potpora Županijske TZ procjenjuju se prihodi </w:t>
      </w:r>
      <w:r w:rsidR="008F4154" w:rsidRPr="00E50549">
        <w:rPr>
          <w:rFonts w:ascii="Calibri" w:eastAsia="Times New Roman" w:hAnsi="Calibri" w:cs="Calibri"/>
          <w:bCs/>
          <w:sz w:val="24"/>
          <w:szCs w:val="24"/>
        </w:rPr>
        <w:t>u visini - 20</w:t>
      </w:r>
      <w:r w:rsidRPr="00E50549">
        <w:rPr>
          <w:rFonts w:ascii="Calibri" w:eastAsia="Times New Roman" w:hAnsi="Calibri" w:cs="Calibri"/>
          <w:bCs/>
          <w:sz w:val="24"/>
          <w:szCs w:val="24"/>
        </w:rPr>
        <w:t xml:space="preserve">0.000,00 kuna. </w:t>
      </w:r>
    </w:p>
    <w:p w14:paraId="18191835" w14:textId="77777777" w:rsidR="00E50549" w:rsidRPr="00E50549" w:rsidRDefault="00E50549" w:rsidP="006A0FCE">
      <w:pPr>
        <w:ind w:right="-330"/>
        <w:rPr>
          <w:rFonts w:ascii="Calibri" w:eastAsia="Times New Roman" w:hAnsi="Calibri" w:cs="Calibri"/>
          <w:bCs/>
          <w:sz w:val="24"/>
          <w:szCs w:val="24"/>
        </w:rPr>
      </w:pPr>
    </w:p>
    <w:p w14:paraId="0CD603AF" w14:textId="77777777" w:rsidR="00953036" w:rsidRPr="00E50549" w:rsidRDefault="00953036" w:rsidP="006A0FCE">
      <w:pPr>
        <w:ind w:right="-330"/>
        <w:rPr>
          <w:rFonts w:ascii="Calibri" w:eastAsia="Times New Roman" w:hAnsi="Calibri" w:cs="Calibri"/>
          <w:b/>
          <w:bCs/>
          <w:sz w:val="24"/>
          <w:szCs w:val="24"/>
        </w:rPr>
      </w:pPr>
      <w:r w:rsidRPr="00E50549">
        <w:rPr>
          <w:rFonts w:ascii="Calibri" w:eastAsia="Times New Roman" w:hAnsi="Calibri" w:cs="Calibri"/>
          <w:b/>
          <w:bCs/>
          <w:sz w:val="24"/>
          <w:szCs w:val="24"/>
        </w:rPr>
        <w:t xml:space="preserve">2.4. PRIHODI IZ EU FONDOVA </w:t>
      </w:r>
    </w:p>
    <w:p w14:paraId="0957F9DD" w14:textId="10F24205" w:rsidR="00953036" w:rsidRPr="00E50549" w:rsidRDefault="00274578" w:rsidP="006A0FCE">
      <w:pPr>
        <w:ind w:right="-330"/>
        <w:rPr>
          <w:rFonts w:ascii="Calibri" w:eastAsia="Times New Roman" w:hAnsi="Calibri" w:cs="Calibri"/>
          <w:bCs/>
          <w:sz w:val="24"/>
          <w:szCs w:val="24"/>
        </w:rPr>
      </w:pPr>
      <w:r w:rsidRPr="00E50549">
        <w:rPr>
          <w:rFonts w:ascii="Calibri" w:eastAsia="Times New Roman" w:hAnsi="Calibri" w:cs="Calibri"/>
          <w:bCs/>
          <w:sz w:val="24"/>
          <w:szCs w:val="24"/>
        </w:rPr>
        <w:t>- U 2022</w:t>
      </w:r>
      <w:r w:rsidR="00953036" w:rsidRPr="00E50549">
        <w:rPr>
          <w:rFonts w:ascii="Calibri" w:eastAsia="Times New Roman" w:hAnsi="Calibri" w:cs="Calibri"/>
          <w:bCs/>
          <w:sz w:val="24"/>
          <w:szCs w:val="24"/>
        </w:rPr>
        <w:t>. ne očekujemo refundaciju sredstava iz EU programa</w:t>
      </w:r>
      <w:r w:rsidR="008F4154" w:rsidRPr="00E50549">
        <w:rPr>
          <w:rFonts w:ascii="Calibri" w:eastAsia="Times New Roman" w:hAnsi="Calibri" w:cs="Calibri"/>
          <w:bCs/>
          <w:sz w:val="24"/>
          <w:szCs w:val="24"/>
        </w:rPr>
        <w:t xml:space="preserve"> jer trenutno nemamo projekata u provedbi</w:t>
      </w:r>
      <w:r w:rsidRPr="00E50549">
        <w:rPr>
          <w:rFonts w:ascii="Calibri" w:eastAsia="Times New Roman" w:hAnsi="Calibri" w:cs="Calibri"/>
          <w:bCs/>
          <w:sz w:val="24"/>
          <w:szCs w:val="24"/>
        </w:rPr>
        <w:t>, ali aplicirat ćemo na EU programe (Horizon Europe, Interreg HU-HR, Interreg Danube i sl.)  u vidu projektnog partnera.</w:t>
      </w:r>
    </w:p>
    <w:p w14:paraId="0F1949FC" w14:textId="77777777" w:rsidR="00953036" w:rsidRPr="00E50549" w:rsidRDefault="00953036" w:rsidP="006A0FCE">
      <w:pPr>
        <w:ind w:right="-330"/>
        <w:rPr>
          <w:rFonts w:ascii="Calibri" w:eastAsia="Times New Roman" w:hAnsi="Calibri" w:cs="Calibri"/>
          <w:bCs/>
          <w:sz w:val="24"/>
          <w:szCs w:val="24"/>
        </w:rPr>
      </w:pPr>
    </w:p>
    <w:p w14:paraId="583812F3" w14:textId="77777777" w:rsidR="00953036" w:rsidRPr="00E50549" w:rsidRDefault="00953036" w:rsidP="006A0FCE">
      <w:pPr>
        <w:ind w:right="-330"/>
        <w:rPr>
          <w:rFonts w:ascii="Calibri" w:eastAsia="Times New Roman" w:hAnsi="Calibri" w:cs="Calibri"/>
          <w:b/>
          <w:bCs/>
          <w:sz w:val="24"/>
          <w:szCs w:val="24"/>
        </w:rPr>
      </w:pPr>
      <w:r w:rsidRPr="00E50549">
        <w:rPr>
          <w:rFonts w:ascii="Calibri" w:eastAsia="Times New Roman" w:hAnsi="Calibri" w:cs="Calibri"/>
          <w:b/>
          <w:bCs/>
          <w:sz w:val="24"/>
          <w:szCs w:val="24"/>
        </w:rPr>
        <w:t>2.5. PRIHODI OD GOSPODARSKE DJELATNOSTI</w:t>
      </w:r>
    </w:p>
    <w:p w14:paraId="7550D138" w14:textId="6BC81305" w:rsidR="008F4154" w:rsidRPr="00E50549" w:rsidRDefault="00274578" w:rsidP="006A0FCE">
      <w:pPr>
        <w:ind w:right="-330"/>
        <w:rPr>
          <w:rFonts w:ascii="Calibri" w:eastAsia="Times New Roman" w:hAnsi="Calibri" w:cs="Calibri"/>
          <w:bCs/>
          <w:sz w:val="24"/>
          <w:szCs w:val="24"/>
        </w:rPr>
      </w:pPr>
      <w:r w:rsidRPr="00E50549">
        <w:rPr>
          <w:rFonts w:ascii="Calibri" w:eastAsia="Times New Roman" w:hAnsi="Calibri" w:cs="Calibri"/>
          <w:bCs/>
          <w:sz w:val="24"/>
          <w:szCs w:val="24"/>
        </w:rPr>
        <w:t xml:space="preserve"> - očekujemo prihod od najma Jumbo tabli za promocijske aktivnosti –</w:t>
      </w:r>
      <w:r w:rsidR="008F4154" w:rsidRPr="00E50549">
        <w:rPr>
          <w:rFonts w:ascii="Calibri" w:eastAsia="Times New Roman" w:hAnsi="Calibri" w:cs="Calibri"/>
          <w:bCs/>
          <w:sz w:val="24"/>
          <w:szCs w:val="24"/>
        </w:rPr>
        <w:t xml:space="preserve"> 1</w:t>
      </w:r>
      <w:r w:rsidRPr="00E50549">
        <w:rPr>
          <w:rFonts w:ascii="Calibri" w:eastAsia="Times New Roman" w:hAnsi="Calibri" w:cs="Calibri"/>
          <w:bCs/>
          <w:sz w:val="24"/>
          <w:szCs w:val="24"/>
        </w:rPr>
        <w:t>0.000,00 kn</w:t>
      </w:r>
    </w:p>
    <w:p w14:paraId="758E964F" w14:textId="77777777" w:rsidR="00E50549" w:rsidRPr="00E50549" w:rsidRDefault="00E50549" w:rsidP="006A0FCE">
      <w:pPr>
        <w:ind w:right="-330"/>
        <w:rPr>
          <w:rFonts w:ascii="Calibri" w:eastAsia="Times New Roman" w:hAnsi="Calibri" w:cs="Calibri"/>
          <w:bCs/>
          <w:sz w:val="24"/>
          <w:szCs w:val="24"/>
        </w:rPr>
      </w:pPr>
    </w:p>
    <w:p w14:paraId="3E53B5D7" w14:textId="77777777" w:rsidR="00953036" w:rsidRPr="00E50549" w:rsidRDefault="00953036" w:rsidP="006A0FCE">
      <w:pPr>
        <w:ind w:right="-330"/>
        <w:rPr>
          <w:rFonts w:ascii="Calibri" w:eastAsia="Times New Roman" w:hAnsi="Calibri" w:cs="Calibri"/>
          <w:b/>
          <w:bCs/>
          <w:sz w:val="24"/>
          <w:szCs w:val="24"/>
        </w:rPr>
      </w:pPr>
      <w:r w:rsidRPr="00E50549">
        <w:rPr>
          <w:rFonts w:ascii="Calibri" w:eastAsia="Times New Roman" w:hAnsi="Calibri" w:cs="Calibri"/>
          <w:b/>
          <w:bCs/>
          <w:sz w:val="24"/>
          <w:szCs w:val="24"/>
        </w:rPr>
        <w:t xml:space="preserve">2.6. PRENESENI PRIHODI IZ PRETHODNE GODINE </w:t>
      </w:r>
    </w:p>
    <w:p w14:paraId="2C73C862" w14:textId="375F8A28" w:rsidR="00953036" w:rsidRPr="00E50549" w:rsidRDefault="00274578" w:rsidP="006A0FCE">
      <w:pPr>
        <w:ind w:right="-330"/>
        <w:rPr>
          <w:rFonts w:ascii="Calibri" w:eastAsia="Times New Roman" w:hAnsi="Calibri" w:cs="Calibri"/>
          <w:bCs/>
          <w:color w:val="FF0000"/>
          <w:sz w:val="24"/>
          <w:szCs w:val="24"/>
        </w:rPr>
      </w:pPr>
      <w:r w:rsidRPr="00E50549">
        <w:rPr>
          <w:rFonts w:ascii="Calibri" w:eastAsia="Times New Roman" w:hAnsi="Calibri" w:cs="Calibri"/>
          <w:bCs/>
          <w:sz w:val="24"/>
          <w:szCs w:val="24"/>
        </w:rPr>
        <w:t>- višak prihoda iz 2021</w:t>
      </w:r>
      <w:r w:rsidR="00953036" w:rsidRPr="00E50549">
        <w:rPr>
          <w:rFonts w:ascii="Calibri" w:eastAsia="Times New Roman" w:hAnsi="Calibri" w:cs="Calibri"/>
          <w:bCs/>
          <w:sz w:val="24"/>
          <w:szCs w:val="24"/>
        </w:rPr>
        <w:t>. godine biti će prebačen za pos</w:t>
      </w:r>
      <w:r w:rsidRPr="00E50549">
        <w:rPr>
          <w:rFonts w:ascii="Calibri" w:eastAsia="Times New Roman" w:hAnsi="Calibri" w:cs="Calibri"/>
          <w:bCs/>
          <w:sz w:val="24"/>
          <w:szCs w:val="24"/>
        </w:rPr>
        <w:t>lovanje u 2022</w:t>
      </w:r>
      <w:r w:rsidR="00953036" w:rsidRPr="00E50549">
        <w:rPr>
          <w:rFonts w:ascii="Calibri" w:eastAsia="Times New Roman" w:hAnsi="Calibri" w:cs="Calibri"/>
          <w:bCs/>
          <w:sz w:val="24"/>
          <w:szCs w:val="24"/>
        </w:rPr>
        <w:t xml:space="preserve">., a isti je akumuliran iz </w:t>
      </w:r>
      <w:r w:rsidR="00D21E2A" w:rsidRPr="00E50549">
        <w:rPr>
          <w:rFonts w:ascii="Calibri" w:eastAsia="Times New Roman" w:hAnsi="Calibri" w:cs="Calibri"/>
          <w:bCs/>
          <w:sz w:val="24"/>
          <w:szCs w:val="24"/>
        </w:rPr>
        <w:t xml:space="preserve">pozitivnog poslovanja prethodnih godina te prihoda od sustava TZ koji </w:t>
      </w:r>
      <w:r w:rsidR="00953036" w:rsidRPr="00E50549">
        <w:rPr>
          <w:rFonts w:ascii="Calibri" w:eastAsia="Times New Roman" w:hAnsi="Calibri" w:cs="Calibri"/>
          <w:bCs/>
          <w:sz w:val="24"/>
          <w:szCs w:val="24"/>
        </w:rPr>
        <w:t xml:space="preserve"> će osigurati likvidnost i stabilnost u budućim izazovnim vremenima (koronakriza) </w:t>
      </w:r>
      <w:r w:rsidR="005004B1" w:rsidRPr="00E50549">
        <w:rPr>
          <w:rFonts w:ascii="Calibri" w:eastAsia="Times New Roman" w:hAnsi="Calibri" w:cs="Calibri"/>
          <w:bCs/>
          <w:sz w:val="24"/>
          <w:szCs w:val="24"/>
        </w:rPr>
        <w:t>– 48</w:t>
      </w:r>
      <w:r w:rsidR="008F4154" w:rsidRPr="00E50549">
        <w:rPr>
          <w:rFonts w:ascii="Calibri" w:eastAsia="Times New Roman" w:hAnsi="Calibri" w:cs="Calibri"/>
          <w:bCs/>
          <w:sz w:val="24"/>
          <w:szCs w:val="24"/>
        </w:rPr>
        <w:t>0</w:t>
      </w:r>
      <w:r w:rsidR="00953036" w:rsidRPr="00E50549">
        <w:rPr>
          <w:rFonts w:ascii="Calibri" w:eastAsia="Times New Roman" w:hAnsi="Calibri" w:cs="Calibri"/>
          <w:bCs/>
          <w:sz w:val="24"/>
          <w:szCs w:val="24"/>
        </w:rPr>
        <w:t>.000,00 kn</w:t>
      </w:r>
    </w:p>
    <w:p w14:paraId="70DB11D1" w14:textId="77777777" w:rsidR="00953036" w:rsidRPr="00E50549" w:rsidRDefault="00953036" w:rsidP="006A0FCE">
      <w:pPr>
        <w:ind w:right="-330"/>
        <w:rPr>
          <w:rFonts w:ascii="Calibri" w:eastAsia="Times New Roman" w:hAnsi="Calibri" w:cs="Calibri"/>
          <w:bCs/>
          <w:sz w:val="24"/>
          <w:szCs w:val="24"/>
        </w:rPr>
      </w:pPr>
    </w:p>
    <w:p w14:paraId="1F47844D" w14:textId="77777777" w:rsidR="00953036" w:rsidRPr="00E50549" w:rsidRDefault="00953036" w:rsidP="006A0FCE">
      <w:pPr>
        <w:ind w:right="-330"/>
        <w:rPr>
          <w:rFonts w:ascii="Calibri" w:eastAsia="Times New Roman" w:hAnsi="Calibri" w:cs="Calibri"/>
          <w:b/>
          <w:bCs/>
          <w:sz w:val="24"/>
          <w:szCs w:val="24"/>
        </w:rPr>
      </w:pPr>
      <w:r w:rsidRPr="00E50549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E50549">
        <w:rPr>
          <w:rFonts w:ascii="Calibri" w:eastAsia="Times New Roman" w:hAnsi="Calibri" w:cs="Calibri"/>
          <w:b/>
          <w:bCs/>
          <w:sz w:val="24"/>
          <w:szCs w:val="24"/>
        </w:rPr>
        <w:t xml:space="preserve">2.7. OSTALI PRIHODI </w:t>
      </w:r>
    </w:p>
    <w:p w14:paraId="15AB3DBD" w14:textId="0C09D7F3" w:rsidR="00953036" w:rsidRPr="00E50549" w:rsidRDefault="00953036" w:rsidP="006A0FCE">
      <w:pPr>
        <w:ind w:right="-330"/>
        <w:rPr>
          <w:rFonts w:ascii="Calibri" w:eastAsia="Times New Roman" w:hAnsi="Calibri" w:cs="Calibri"/>
          <w:bCs/>
          <w:sz w:val="24"/>
          <w:szCs w:val="24"/>
        </w:rPr>
      </w:pPr>
      <w:r w:rsidRPr="00E50549">
        <w:rPr>
          <w:rFonts w:ascii="Calibri" w:eastAsia="Times New Roman" w:hAnsi="Calibri" w:cs="Calibri"/>
          <w:bCs/>
          <w:sz w:val="24"/>
          <w:szCs w:val="24"/>
        </w:rPr>
        <w:t>- odnose se na</w:t>
      </w:r>
      <w:r w:rsidR="008F4154" w:rsidRPr="00E50549">
        <w:rPr>
          <w:rFonts w:ascii="Calibri" w:eastAsia="Times New Roman" w:hAnsi="Calibri" w:cs="Calibri"/>
          <w:bCs/>
          <w:sz w:val="24"/>
          <w:szCs w:val="24"/>
        </w:rPr>
        <w:t xml:space="preserve"> odobrene projekte Ministarstva kulture te drugih</w:t>
      </w:r>
      <w:r w:rsidRPr="00E50549">
        <w:rPr>
          <w:rFonts w:ascii="Calibri" w:eastAsia="Times New Roman" w:hAnsi="Calibri" w:cs="Calibri"/>
          <w:bCs/>
          <w:sz w:val="24"/>
          <w:szCs w:val="24"/>
        </w:rPr>
        <w:t xml:space="preserve"> f</w:t>
      </w:r>
      <w:r w:rsidR="008F4154" w:rsidRPr="00E50549">
        <w:rPr>
          <w:rFonts w:ascii="Calibri" w:eastAsia="Times New Roman" w:hAnsi="Calibri" w:cs="Calibri"/>
          <w:bCs/>
          <w:sz w:val="24"/>
          <w:szCs w:val="24"/>
        </w:rPr>
        <w:t>ondova</w:t>
      </w:r>
      <w:r w:rsidRPr="00E50549">
        <w:rPr>
          <w:rFonts w:ascii="Calibri" w:eastAsia="Times New Roman" w:hAnsi="Calibri" w:cs="Calibri"/>
          <w:bCs/>
          <w:sz w:val="24"/>
          <w:szCs w:val="24"/>
        </w:rPr>
        <w:t xml:space="preserve"> za sufinanciranje projekata</w:t>
      </w:r>
      <w:r w:rsidR="00B24DDA">
        <w:rPr>
          <w:rFonts w:ascii="Calibri" w:eastAsia="Times New Roman" w:hAnsi="Calibri" w:cs="Calibri"/>
          <w:bCs/>
          <w:sz w:val="24"/>
          <w:szCs w:val="24"/>
        </w:rPr>
        <w:t xml:space="preserve"> - 1</w:t>
      </w:r>
      <w:r w:rsidR="008F4154" w:rsidRPr="00E50549">
        <w:rPr>
          <w:rFonts w:ascii="Calibri" w:eastAsia="Times New Roman" w:hAnsi="Calibri" w:cs="Calibri"/>
          <w:bCs/>
          <w:sz w:val="24"/>
          <w:szCs w:val="24"/>
        </w:rPr>
        <w:t>0.0</w:t>
      </w:r>
      <w:r w:rsidRPr="00E50549">
        <w:rPr>
          <w:rFonts w:ascii="Calibri" w:eastAsia="Times New Roman" w:hAnsi="Calibri" w:cs="Calibri"/>
          <w:bCs/>
          <w:sz w:val="24"/>
          <w:szCs w:val="24"/>
        </w:rPr>
        <w:t>00,00 kn</w:t>
      </w:r>
    </w:p>
    <w:p w14:paraId="07D4DD55" w14:textId="15C27921" w:rsidR="00953036" w:rsidRDefault="00953036" w:rsidP="006A0FCE">
      <w:pPr>
        <w:ind w:right="-330"/>
        <w:jc w:val="both"/>
        <w:rPr>
          <w:sz w:val="24"/>
        </w:rPr>
      </w:pPr>
    </w:p>
    <w:p w14:paraId="60ADB297" w14:textId="02A92F43" w:rsidR="00E50549" w:rsidRDefault="00E50549" w:rsidP="006A0FCE">
      <w:pPr>
        <w:ind w:right="-330"/>
        <w:jc w:val="both"/>
        <w:rPr>
          <w:sz w:val="24"/>
        </w:rPr>
      </w:pPr>
    </w:p>
    <w:p w14:paraId="2F86E01A" w14:textId="64501937" w:rsidR="00E50549" w:rsidRDefault="00E50549" w:rsidP="006A0FCE">
      <w:pPr>
        <w:ind w:right="-330"/>
        <w:jc w:val="both"/>
        <w:rPr>
          <w:sz w:val="24"/>
        </w:rPr>
      </w:pPr>
    </w:p>
    <w:p w14:paraId="6FE446AB" w14:textId="2377F958" w:rsidR="00E50549" w:rsidRDefault="00E50549" w:rsidP="006A0FCE">
      <w:pPr>
        <w:ind w:right="-330"/>
        <w:jc w:val="both"/>
        <w:rPr>
          <w:sz w:val="24"/>
        </w:rPr>
      </w:pPr>
    </w:p>
    <w:p w14:paraId="0437D56A" w14:textId="35F1243B" w:rsidR="00E50549" w:rsidRDefault="00E50549" w:rsidP="006A0FCE">
      <w:pPr>
        <w:ind w:right="-330"/>
        <w:jc w:val="both"/>
        <w:rPr>
          <w:sz w:val="24"/>
        </w:rPr>
      </w:pPr>
    </w:p>
    <w:p w14:paraId="7F07BBC1" w14:textId="77777777" w:rsidR="00E50549" w:rsidRPr="00E50549" w:rsidRDefault="00E50549" w:rsidP="006A0FCE">
      <w:pPr>
        <w:ind w:right="-330"/>
        <w:jc w:val="both"/>
        <w:rPr>
          <w:sz w:val="24"/>
        </w:rPr>
      </w:pPr>
    </w:p>
    <w:p w14:paraId="6A486978" w14:textId="2222484C" w:rsidR="00953036" w:rsidRDefault="00953036" w:rsidP="006A0FCE">
      <w:pPr>
        <w:ind w:right="-330"/>
        <w:jc w:val="both"/>
      </w:pPr>
    </w:p>
    <w:p w14:paraId="183C54D1" w14:textId="77777777" w:rsidR="006A0FCE" w:rsidRDefault="006A0FCE" w:rsidP="006A0FCE">
      <w:pPr>
        <w:ind w:right="-330"/>
        <w:jc w:val="both"/>
      </w:pPr>
    </w:p>
    <w:p w14:paraId="272127D3" w14:textId="643EFE11" w:rsidR="00274578" w:rsidRDefault="00274578" w:rsidP="006A0FCE">
      <w:pPr>
        <w:pStyle w:val="Glavninaslov"/>
        <w:numPr>
          <w:ilvl w:val="0"/>
          <w:numId w:val="18"/>
        </w:numPr>
        <w:ind w:right="-330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color w:val="auto"/>
          <w:sz w:val="32"/>
          <w:szCs w:val="32"/>
        </w:rPr>
        <w:lastRenderedPageBreak/>
        <w:t>PLAN AKTIVNOSTI</w:t>
      </w:r>
    </w:p>
    <w:p w14:paraId="5FA5BC6C" w14:textId="743A6ACD" w:rsidR="00274578" w:rsidRDefault="00274578" w:rsidP="006A0FCE">
      <w:pPr>
        <w:pStyle w:val="Glavninaslov"/>
        <w:numPr>
          <w:ilvl w:val="0"/>
          <w:numId w:val="0"/>
        </w:numPr>
        <w:ind w:right="-330"/>
        <w:rPr>
          <w:rFonts w:ascii="Calibri" w:hAnsi="Calibri" w:cs="Calibri"/>
          <w:color w:val="auto"/>
          <w:sz w:val="32"/>
          <w:szCs w:val="32"/>
        </w:rPr>
      </w:pPr>
    </w:p>
    <w:p w14:paraId="00202613" w14:textId="77777777" w:rsidR="00274578" w:rsidRPr="00E50549" w:rsidRDefault="00274578" w:rsidP="006A0FCE">
      <w:pPr>
        <w:pStyle w:val="Glavninaslov"/>
        <w:numPr>
          <w:ilvl w:val="0"/>
          <w:numId w:val="0"/>
        </w:numPr>
        <w:ind w:right="-330"/>
        <w:rPr>
          <w:rFonts w:ascii="Calibri" w:hAnsi="Calibri" w:cs="Calibri"/>
          <w:color w:val="auto"/>
          <w:sz w:val="36"/>
          <w:szCs w:val="32"/>
        </w:rPr>
      </w:pPr>
    </w:p>
    <w:p w14:paraId="5B8E41B4" w14:textId="187244E5" w:rsidR="00AA0400" w:rsidRPr="00E50549" w:rsidRDefault="00AA0400" w:rsidP="006A0FCE">
      <w:pPr>
        <w:ind w:right="-330"/>
        <w:jc w:val="both"/>
        <w:rPr>
          <w:b/>
          <w:sz w:val="24"/>
        </w:rPr>
      </w:pPr>
      <w:r w:rsidRPr="00E50549">
        <w:rPr>
          <w:b/>
          <w:sz w:val="24"/>
        </w:rPr>
        <w:t>1. ISTRAŽIVANJE I STRATEŠKO PLANIRANJE</w:t>
      </w:r>
    </w:p>
    <w:p w14:paraId="72C9B225" w14:textId="35D0C43C" w:rsidR="00AA0400" w:rsidRPr="00E50549" w:rsidRDefault="00AA0400" w:rsidP="006A0FCE">
      <w:pPr>
        <w:ind w:right="-330"/>
        <w:jc w:val="both"/>
        <w:rPr>
          <w:sz w:val="24"/>
        </w:rPr>
      </w:pPr>
      <w:r w:rsidRPr="00E50549">
        <w:rPr>
          <w:sz w:val="24"/>
        </w:rPr>
        <w:t>1.1. Izrada strateških/operativnih/komunikacijskih/akcijskih dokumenata</w:t>
      </w:r>
    </w:p>
    <w:p w14:paraId="459C2578" w14:textId="77777777" w:rsidR="00256E2F" w:rsidRPr="00E50549" w:rsidRDefault="00256E2F" w:rsidP="006A0FCE">
      <w:pPr>
        <w:pStyle w:val="ListParagraph"/>
        <w:numPr>
          <w:ilvl w:val="0"/>
          <w:numId w:val="1"/>
        </w:numPr>
        <w:ind w:left="709" w:right="-330"/>
        <w:jc w:val="both"/>
        <w:rPr>
          <w:sz w:val="24"/>
        </w:rPr>
      </w:pPr>
      <w:r w:rsidRPr="00E50549">
        <w:rPr>
          <w:sz w:val="24"/>
        </w:rPr>
        <w:t>Izrada strateškog plana T</w:t>
      </w:r>
      <w:r w:rsidR="0056209F" w:rsidRPr="00E50549">
        <w:rPr>
          <w:sz w:val="24"/>
        </w:rPr>
        <w:t>urističke zajednice područja “Središnja Podravina”, budući da trenutno ne postoji strateški do</w:t>
      </w:r>
      <w:r w:rsidR="00743679" w:rsidRPr="00E50549">
        <w:rPr>
          <w:sz w:val="24"/>
        </w:rPr>
        <w:t>k</w:t>
      </w:r>
      <w:r w:rsidR="0056209F" w:rsidRPr="00E50549">
        <w:rPr>
          <w:sz w:val="24"/>
        </w:rPr>
        <w:t xml:space="preserve">ument </w:t>
      </w:r>
      <w:r w:rsidRPr="00E50549">
        <w:rPr>
          <w:sz w:val="24"/>
        </w:rPr>
        <w:t>organizacije, isti je potreban radi pripreme</w:t>
      </w:r>
      <w:r w:rsidR="00FB418A" w:rsidRPr="00E50549">
        <w:rPr>
          <w:sz w:val="24"/>
        </w:rPr>
        <w:t xml:space="preserve"> projekata</w:t>
      </w:r>
      <w:r w:rsidRPr="00E50549">
        <w:rPr>
          <w:sz w:val="24"/>
        </w:rPr>
        <w:t xml:space="preserve"> i aktivnosti.</w:t>
      </w:r>
    </w:p>
    <w:p w14:paraId="2504F59C" w14:textId="58E4057D" w:rsidR="00AA0400" w:rsidRPr="00E50549" w:rsidRDefault="00256E2F" w:rsidP="006A0FCE">
      <w:pPr>
        <w:pStyle w:val="ListParagraph"/>
        <w:numPr>
          <w:ilvl w:val="0"/>
          <w:numId w:val="1"/>
        </w:numPr>
        <w:ind w:left="709" w:right="-330"/>
        <w:jc w:val="both"/>
        <w:rPr>
          <w:sz w:val="24"/>
        </w:rPr>
      </w:pPr>
      <w:r w:rsidRPr="00E50549">
        <w:rPr>
          <w:rFonts w:ascii="Calibri" w:hAnsi="Calibri" w:cs="Calibri"/>
          <w:sz w:val="24"/>
        </w:rPr>
        <w:t>Provoditi će se: odabir izrađivača dokumenta,</w:t>
      </w:r>
      <w:r w:rsidR="00F63891">
        <w:rPr>
          <w:rFonts w:ascii="Calibri" w:hAnsi="Calibri" w:cs="Calibri"/>
          <w:sz w:val="28"/>
        </w:rPr>
        <w:t xml:space="preserve"> </w:t>
      </w:r>
      <w:r w:rsidR="00F63891">
        <w:rPr>
          <w:rFonts w:ascii="Calibri" w:hAnsi="Calibri" w:cs="Calibri"/>
          <w:sz w:val="24"/>
        </w:rPr>
        <w:t>n</w:t>
      </w:r>
      <w:r w:rsidRPr="00E50549">
        <w:rPr>
          <w:rFonts w:ascii="Calibri" w:hAnsi="Calibri" w:cs="Calibri"/>
          <w:sz w:val="24"/>
        </w:rPr>
        <w:t>adziranje procesa izrade, uključivanje i koordinacija dionika, priprema i dostava potrebnih inputa, komuniciranje dokumenta javnosti i zainteresiranim dionicima.</w:t>
      </w:r>
    </w:p>
    <w:p w14:paraId="48BE6EC8" w14:textId="435F8744" w:rsidR="00743679" w:rsidRPr="00E50549" w:rsidRDefault="00B23783" w:rsidP="006A0FCE">
      <w:pPr>
        <w:ind w:right="-330"/>
        <w:jc w:val="both"/>
        <w:rPr>
          <w:sz w:val="24"/>
        </w:rPr>
      </w:pPr>
      <w:r w:rsidRPr="00E50549">
        <w:rPr>
          <w:sz w:val="24"/>
        </w:rPr>
        <w:t>Potrebna s</w:t>
      </w:r>
      <w:r w:rsidR="00256E2F" w:rsidRPr="00E50549">
        <w:rPr>
          <w:sz w:val="24"/>
        </w:rPr>
        <w:t>redstva: 2</w:t>
      </w:r>
      <w:r w:rsidR="00743679" w:rsidRPr="00E50549">
        <w:rPr>
          <w:sz w:val="24"/>
        </w:rPr>
        <w:t>0.000,00 kuna</w:t>
      </w:r>
    </w:p>
    <w:p w14:paraId="374CA825" w14:textId="03BFEFAD" w:rsidR="00AA0400" w:rsidRPr="00E50549" w:rsidRDefault="00AA0400" w:rsidP="006A0FCE">
      <w:pPr>
        <w:ind w:right="-330"/>
        <w:jc w:val="both"/>
        <w:rPr>
          <w:sz w:val="24"/>
        </w:rPr>
      </w:pPr>
      <w:r w:rsidRPr="00E50549">
        <w:rPr>
          <w:sz w:val="24"/>
        </w:rPr>
        <w:t>1.2. Istraživanje i analiza tržišta:</w:t>
      </w:r>
    </w:p>
    <w:p w14:paraId="220415B7" w14:textId="737CD3CA" w:rsidR="00256E2F" w:rsidRPr="00E50549" w:rsidRDefault="00256E2F" w:rsidP="006A0FCE">
      <w:pPr>
        <w:pStyle w:val="ListParagraph"/>
        <w:numPr>
          <w:ilvl w:val="0"/>
          <w:numId w:val="2"/>
        </w:numPr>
        <w:ind w:right="-330"/>
        <w:jc w:val="both"/>
        <w:rPr>
          <w:sz w:val="24"/>
        </w:rPr>
      </w:pPr>
      <w:r w:rsidRPr="00E50549">
        <w:rPr>
          <w:sz w:val="24"/>
        </w:rPr>
        <w:t>Dostupne analize tržišta, kretanje</w:t>
      </w:r>
      <w:r w:rsidR="00FB418A" w:rsidRPr="00E50549">
        <w:rPr>
          <w:sz w:val="24"/>
        </w:rPr>
        <w:t xml:space="preserve"> trendova te </w:t>
      </w:r>
      <w:r w:rsidR="00AA0400" w:rsidRPr="00E50549">
        <w:rPr>
          <w:sz w:val="24"/>
        </w:rPr>
        <w:t>benchmarking</w:t>
      </w:r>
      <w:r w:rsidR="00B23783" w:rsidRPr="00E50549">
        <w:rPr>
          <w:sz w:val="24"/>
        </w:rPr>
        <w:t xml:space="preserve"> </w:t>
      </w:r>
      <w:r w:rsidRPr="00E50549">
        <w:rPr>
          <w:sz w:val="24"/>
        </w:rPr>
        <w:t>– usporedba destinacije sa sličnim destinacijama u Hrvatskoj i susjednim zemljama</w:t>
      </w:r>
    </w:p>
    <w:p w14:paraId="37B87398" w14:textId="18B99133" w:rsidR="00AA0400" w:rsidRPr="00E50549" w:rsidRDefault="00B23783" w:rsidP="006A0FCE">
      <w:pPr>
        <w:pStyle w:val="ListParagraph"/>
        <w:numPr>
          <w:ilvl w:val="0"/>
          <w:numId w:val="2"/>
        </w:numPr>
        <w:ind w:right="-330"/>
        <w:jc w:val="both"/>
        <w:rPr>
          <w:sz w:val="24"/>
        </w:rPr>
      </w:pPr>
      <w:r w:rsidRPr="00E50549">
        <w:rPr>
          <w:sz w:val="24"/>
        </w:rPr>
        <w:t>Provoditi će se odabir destinacije za benchmarking, provođenje analize, proces i koordinacija potrebna za izradu dokumenta, prip</w:t>
      </w:r>
      <w:r w:rsidR="000B5DFF" w:rsidRPr="00E50549">
        <w:rPr>
          <w:sz w:val="24"/>
        </w:rPr>
        <w:t>rema i dostava svih potrebnih inputa te</w:t>
      </w:r>
      <w:r w:rsidRPr="00E50549">
        <w:rPr>
          <w:sz w:val="24"/>
        </w:rPr>
        <w:t xml:space="preserve"> komunikacija s javnošću. </w:t>
      </w:r>
    </w:p>
    <w:p w14:paraId="4D93E988" w14:textId="575CB053" w:rsidR="00445574" w:rsidRPr="00E50549" w:rsidRDefault="00F63891" w:rsidP="006A0FCE">
      <w:pPr>
        <w:ind w:right="-330"/>
        <w:jc w:val="both"/>
        <w:rPr>
          <w:sz w:val="24"/>
        </w:rPr>
      </w:pPr>
      <w:r>
        <w:rPr>
          <w:sz w:val="24"/>
        </w:rPr>
        <w:t>Potrebna sredstva: 10</w:t>
      </w:r>
      <w:r w:rsidR="00256E2F" w:rsidRPr="00E50549">
        <w:rPr>
          <w:sz w:val="24"/>
        </w:rPr>
        <w:t>.000</w:t>
      </w:r>
      <w:r w:rsidR="00445574" w:rsidRPr="00E50549">
        <w:rPr>
          <w:sz w:val="24"/>
        </w:rPr>
        <w:t>,00</w:t>
      </w:r>
      <w:r w:rsidR="00A05142" w:rsidRPr="00E50549">
        <w:rPr>
          <w:sz w:val="24"/>
        </w:rPr>
        <w:t xml:space="preserve"> kuna</w:t>
      </w:r>
    </w:p>
    <w:p w14:paraId="21E77BD4" w14:textId="45294B64" w:rsidR="00AA0400" w:rsidRPr="00E50549" w:rsidRDefault="00AA0400" w:rsidP="006A0FCE">
      <w:pPr>
        <w:ind w:right="-330"/>
        <w:jc w:val="both"/>
        <w:rPr>
          <w:sz w:val="24"/>
        </w:rPr>
      </w:pPr>
      <w:r w:rsidRPr="00E50549">
        <w:rPr>
          <w:sz w:val="24"/>
        </w:rPr>
        <w:t>1.3. Mjerenje učinkovitosti promotivnih aktivnosti:</w:t>
      </w:r>
    </w:p>
    <w:p w14:paraId="22395FF3" w14:textId="294195C3" w:rsidR="000B5DFF" w:rsidRPr="00E50549" w:rsidRDefault="000B5DFF" w:rsidP="006A0FCE">
      <w:pPr>
        <w:pStyle w:val="ListParagraph"/>
        <w:numPr>
          <w:ilvl w:val="0"/>
          <w:numId w:val="3"/>
        </w:numPr>
        <w:ind w:right="-330"/>
        <w:jc w:val="both"/>
        <w:rPr>
          <w:sz w:val="24"/>
        </w:rPr>
      </w:pPr>
      <w:r w:rsidRPr="00E50549">
        <w:rPr>
          <w:sz w:val="24"/>
        </w:rPr>
        <w:t>Analiza</w:t>
      </w:r>
      <w:r w:rsidR="00FB418A" w:rsidRPr="00E50549">
        <w:rPr>
          <w:sz w:val="24"/>
        </w:rPr>
        <w:t xml:space="preserve"> povratnih</w:t>
      </w:r>
      <w:r w:rsidR="00AA0400" w:rsidRPr="00E50549">
        <w:rPr>
          <w:sz w:val="24"/>
        </w:rPr>
        <w:t xml:space="preserve"> informacij</w:t>
      </w:r>
      <w:r w:rsidR="00FB418A" w:rsidRPr="00E50549">
        <w:rPr>
          <w:sz w:val="24"/>
        </w:rPr>
        <w:t>a o</w:t>
      </w:r>
      <w:r w:rsidR="00AA0400" w:rsidRPr="00E50549">
        <w:rPr>
          <w:sz w:val="24"/>
        </w:rPr>
        <w:t xml:space="preserve"> ulaganjima turističke zajednice na svim razinama promocije</w:t>
      </w:r>
      <w:r w:rsidR="00FB418A" w:rsidRPr="00E50549">
        <w:rPr>
          <w:sz w:val="24"/>
        </w:rPr>
        <w:t xml:space="preserve"> (</w:t>
      </w:r>
      <w:r w:rsidRPr="00E50549">
        <w:rPr>
          <w:sz w:val="24"/>
        </w:rPr>
        <w:t xml:space="preserve">mediji, outdoor oglašavanje, </w:t>
      </w:r>
      <w:r w:rsidR="00FB418A" w:rsidRPr="00E50549">
        <w:rPr>
          <w:sz w:val="24"/>
        </w:rPr>
        <w:t>društ</w:t>
      </w:r>
      <w:r w:rsidRPr="00E50549">
        <w:rPr>
          <w:sz w:val="24"/>
        </w:rPr>
        <w:t>vene mreže, aplikacije, službena</w:t>
      </w:r>
      <w:r w:rsidR="00FB418A" w:rsidRPr="00E50549">
        <w:rPr>
          <w:sz w:val="24"/>
        </w:rPr>
        <w:t xml:space="preserve"> web stranicu, online konferencije i webinare)</w:t>
      </w:r>
      <w:r w:rsidR="00B23783" w:rsidRPr="00E50549">
        <w:rPr>
          <w:sz w:val="24"/>
        </w:rPr>
        <w:t xml:space="preserve">. </w:t>
      </w:r>
      <w:r w:rsidRPr="00E50549">
        <w:rPr>
          <w:sz w:val="24"/>
        </w:rPr>
        <w:t>Na temelju prikupljenih podataka odradit će se kvalitativna i kvantitativna analiza medijskog oglašavanja te smjernice za povećanje kvalitete promotivnih aktivnosti.</w:t>
      </w:r>
    </w:p>
    <w:p w14:paraId="6276F4D5" w14:textId="28DC48AB" w:rsidR="00B23783" w:rsidRPr="00E50549" w:rsidRDefault="00B23783" w:rsidP="006A0FCE">
      <w:pPr>
        <w:ind w:right="-330"/>
        <w:jc w:val="both"/>
        <w:rPr>
          <w:sz w:val="24"/>
        </w:rPr>
      </w:pPr>
      <w:r w:rsidRPr="00E50549">
        <w:rPr>
          <w:sz w:val="24"/>
        </w:rPr>
        <w:t>P</w:t>
      </w:r>
      <w:r w:rsidR="00F63891">
        <w:rPr>
          <w:sz w:val="24"/>
        </w:rPr>
        <w:t>otrebna sredstva: 5</w:t>
      </w:r>
      <w:r w:rsidR="00742A4A" w:rsidRPr="00E50549">
        <w:rPr>
          <w:sz w:val="24"/>
        </w:rPr>
        <w:t>.000</w:t>
      </w:r>
      <w:r w:rsidRPr="00E50549">
        <w:rPr>
          <w:sz w:val="24"/>
        </w:rPr>
        <w:t>,00 kuna</w:t>
      </w:r>
    </w:p>
    <w:p w14:paraId="32C2AA13" w14:textId="77777777" w:rsidR="000B5DFF" w:rsidRPr="00E50549" w:rsidRDefault="000B5DFF" w:rsidP="006A0FCE">
      <w:pPr>
        <w:ind w:right="-330"/>
        <w:jc w:val="both"/>
        <w:rPr>
          <w:sz w:val="24"/>
        </w:rPr>
      </w:pPr>
    </w:p>
    <w:p w14:paraId="209FF68B" w14:textId="133D144F" w:rsidR="00AA0400" w:rsidRPr="00E50549" w:rsidRDefault="00EF76C5" w:rsidP="006A0FCE">
      <w:pPr>
        <w:ind w:right="-330"/>
        <w:jc w:val="both"/>
        <w:rPr>
          <w:b/>
          <w:sz w:val="24"/>
        </w:rPr>
      </w:pPr>
      <w:r w:rsidRPr="00E50549">
        <w:rPr>
          <w:b/>
          <w:sz w:val="24"/>
        </w:rPr>
        <w:t>2. RAZVOJ TURISTIČKOG PROIZVODA</w:t>
      </w:r>
    </w:p>
    <w:p w14:paraId="2940D3CC" w14:textId="47C1F2B3" w:rsidR="00EF76C5" w:rsidRPr="00E50549" w:rsidRDefault="00EF76C5" w:rsidP="006A0FCE">
      <w:pPr>
        <w:ind w:right="-330"/>
        <w:jc w:val="both"/>
        <w:rPr>
          <w:sz w:val="24"/>
          <w:lang w:val="de-DE"/>
        </w:rPr>
      </w:pPr>
      <w:r w:rsidRPr="00E50549">
        <w:rPr>
          <w:sz w:val="24"/>
          <w:lang w:val="de-DE"/>
        </w:rPr>
        <w:t xml:space="preserve">2.1. Indentifikacija i vrednovanje resursa te strukturiranje turističkih proizvoda: </w:t>
      </w:r>
    </w:p>
    <w:p w14:paraId="76889836" w14:textId="07437C2B" w:rsidR="00EF76C5" w:rsidRPr="00E50549" w:rsidRDefault="00EF76C5" w:rsidP="006A0FCE">
      <w:pPr>
        <w:pStyle w:val="ListParagraph"/>
        <w:numPr>
          <w:ilvl w:val="0"/>
          <w:numId w:val="4"/>
        </w:numPr>
        <w:ind w:right="-330"/>
        <w:jc w:val="both"/>
        <w:rPr>
          <w:sz w:val="24"/>
          <w:lang w:val="de-DE"/>
        </w:rPr>
      </w:pPr>
      <w:r w:rsidRPr="00E50549">
        <w:rPr>
          <w:sz w:val="24"/>
          <w:lang w:val="de-DE"/>
        </w:rPr>
        <w:t>Selekcija ključnih atributa, poruka i indentificiranje potencijalnih ciljnih skupina kojima se turistički proizvod komunicira</w:t>
      </w:r>
      <w:r w:rsidR="003273F9" w:rsidRPr="00E50549">
        <w:rPr>
          <w:sz w:val="24"/>
          <w:lang w:val="de-DE"/>
        </w:rPr>
        <w:t xml:space="preserve"> (naiva, priroda, aktivni turizam, gastronomija s naglaskom na slastice)</w:t>
      </w:r>
    </w:p>
    <w:p w14:paraId="777155FA" w14:textId="7199108D" w:rsidR="00EF76C5" w:rsidRPr="00E50549" w:rsidRDefault="00EF76C5" w:rsidP="006A0FCE">
      <w:pPr>
        <w:pStyle w:val="ListParagraph"/>
        <w:numPr>
          <w:ilvl w:val="0"/>
          <w:numId w:val="4"/>
        </w:numPr>
        <w:ind w:right="-330"/>
        <w:jc w:val="both"/>
        <w:rPr>
          <w:sz w:val="24"/>
          <w:lang w:val="de-DE"/>
        </w:rPr>
      </w:pPr>
      <w:r w:rsidRPr="00E50549">
        <w:rPr>
          <w:sz w:val="24"/>
          <w:lang w:val="de-DE"/>
        </w:rPr>
        <w:t xml:space="preserve">Razvojne aktivnosti vezane uz povezivanje elemenata ponude u pakete i proizvode – inkubatori inovativnih destinacijskih doživljaja i proizvoda </w:t>
      </w:r>
      <w:r w:rsidR="003273F9" w:rsidRPr="00E50549">
        <w:rPr>
          <w:sz w:val="24"/>
          <w:lang w:val="de-DE"/>
        </w:rPr>
        <w:t xml:space="preserve">(edukacije namijenjene djeci, mladima, poduzetnicima, poljoprivrednicima, udrugama…, umrežavanje i kreiranje </w:t>
      </w:r>
      <w:r w:rsidR="003273F9" w:rsidRPr="00E50549">
        <w:rPr>
          <w:sz w:val="24"/>
          <w:lang w:val="de-DE"/>
        </w:rPr>
        <w:lastRenderedPageBreak/>
        <w:t>tematskih aranžmana, nastavak osnivanja udruge turističkih vodiča, kreiranje tematske staze, poticanje kreiranja novih turističkih proizvoda</w:t>
      </w:r>
      <w:r w:rsidR="000B5DFF" w:rsidRPr="00E50549">
        <w:rPr>
          <w:sz w:val="24"/>
          <w:lang w:val="de-DE"/>
        </w:rPr>
        <w:t xml:space="preserve"> – cikloturističke rute</w:t>
      </w:r>
      <w:r w:rsidR="003273F9" w:rsidRPr="00E50549">
        <w:rPr>
          <w:sz w:val="24"/>
          <w:lang w:val="de-DE"/>
        </w:rPr>
        <w:t>)</w:t>
      </w:r>
    </w:p>
    <w:p w14:paraId="3A9B957A" w14:textId="24A46800" w:rsidR="00EF76C5" w:rsidRPr="00E50549" w:rsidRDefault="00EF76C5" w:rsidP="006A0FCE">
      <w:pPr>
        <w:pStyle w:val="ListParagraph"/>
        <w:numPr>
          <w:ilvl w:val="0"/>
          <w:numId w:val="4"/>
        </w:numPr>
        <w:ind w:right="-330"/>
        <w:jc w:val="both"/>
        <w:rPr>
          <w:sz w:val="24"/>
          <w:lang w:val="de-DE"/>
        </w:rPr>
      </w:pPr>
      <w:r w:rsidRPr="00E50549">
        <w:rPr>
          <w:sz w:val="24"/>
          <w:lang w:val="de-DE"/>
        </w:rPr>
        <w:t>Razvoj događanja u destinaciji i drugih motiva dolaska u destin</w:t>
      </w:r>
      <w:r w:rsidR="00B50C8D" w:rsidRPr="00E50549">
        <w:rPr>
          <w:sz w:val="24"/>
          <w:lang w:val="de-DE"/>
        </w:rPr>
        <w:t>a</w:t>
      </w:r>
      <w:r w:rsidRPr="00E50549">
        <w:rPr>
          <w:sz w:val="24"/>
          <w:lang w:val="de-DE"/>
        </w:rPr>
        <w:t>ciju za individualne i grupne goste</w:t>
      </w:r>
      <w:r w:rsidR="002058EC" w:rsidRPr="00E50549">
        <w:rPr>
          <w:sz w:val="24"/>
          <w:lang w:val="de-DE"/>
        </w:rPr>
        <w:t xml:space="preserve"> (razvoj Šetnje</w:t>
      </w:r>
      <w:r w:rsidR="003273F9" w:rsidRPr="00E50549">
        <w:rPr>
          <w:sz w:val="24"/>
          <w:lang w:val="de-DE"/>
        </w:rPr>
        <w:t xml:space="preserve"> </w:t>
      </w:r>
      <w:r w:rsidR="000B5DFF" w:rsidRPr="00E50549">
        <w:rPr>
          <w:sz w:val="24"/>
          <w:lang w:val="de-DE"/>
        </w:rPr>
        <w:t>kroz naivu u Hlebinama, Virovske prkačijade, Skrivene Podravine na Šoderici</w:t>
      </w:r>
      <w:r w:rsidR="002058EC" w:rsidRPr="00E50549">
        <w:rPr>
          <w:sz w:val="24"/>
          <w:lang w:val="de-DE"/>
        </w:rPr>
        <w:t xml:space="preserve"> i sl.</w:t>
      </w:r>
      <w:r w:rsidR="003273F9" w:rsidRPr="00E50549">
        <w:rPr>
          <w:sz w:val="24"/>
          <w:lang w:val="de-DE"/>
        </w:rPr>
        <w:t>)</w:t>
      </w:r>
    </w:p>
    <w:p w14:paraId="27660E25" w14:textId="7AB39DC8" w:rsidR="00EF76C5" w:rsidRDefault="00EF76C5" w:rsidP="006A0FCE">
      <w:pPr>
        <w:pStyle w:val="ListParagraph"/>
        <w:numPr>
          <w:ilvl w:val="0"/>
          <w:numId w:val="4"/>
        </w:numPr>
        <w:ind w:right="-330"/>
        <w:jc w:val="both"/>
        <w:rPr>
          <w:sz w:val="24"/>
          <w:lang w:val="de-DE"/>
        </w:rPr>
      </w:pPr>
      <w:r w:rsidRPr="00E50549">
        <w:rPr>
          <w:sz w:val="24"/>
          <w:lang w:val="de-DE"/>
        </w:rPr>
        <w:t xml:space="preserve">Razvoj ostalih elemenata turističke ponude s fokusom na cjelogodišnju ponudu destinacije </w:t>
      </w:r>
      <w:r w:rsidR="003273F9" w:rsidRPr="00E50549">
        <w:rPr>
          <w:sz w:val="24"/>
          <w:lang w:val="de-DE"/>
        </w:rPr>
        <w:t>(edukacija vezana uz kulturni turizam, povezivanje zajednice, razumijevanje važnosti očuvanja kulturne i prirodne baštine)</w:t>
      </w:r>
    </w:p>
    <w:p w14:paraId="57B90946" w14:textId="68646698" w:rsidR="001522AE" w:rsidRPr="001522AE" w:rsidRDefault="001522AE" w:rsidP="006A0FCE">
      <w:pPr>
        <w:pStyle w:val="ListParagraph"/>
        <w:numPr>
          <w:ilvl w:val="0"/>
          <w:numId w:val="4"/>
        </w:numPr>
        <w:ind w:right="-330"/>
        <w:jc w:val="both"/>
        <w:rPr>
          <w:sz w:val="24"/>
        </w:rPr>
      </w:pPr>
      <w:r w:rsidRPr="00641473">
        <w:rPr>
          <w:rFonts w:ascii="Calibri" w:hAnsi="Calibri" w:cs="Calibri"/>
        </w:rPr>
        <w:t xml:space="preserve">Razvoj novih turističkih proizvoda: </w:t>
      </w:r>
      <w:r>
        <w:rPr>
          <w:rFonts w:ascii="Calibri" w:hAnsi="Calibri" w:cs="Calibri"/>
          <w:b/>
          <w:bCs/>
        </w:rPr>
        <w:t>destinacija „Skrivena Pod</w:t>
      </w:r>
      <w:r w:rsidRPr="006F3E7A">
        <w:rPr>
          <w:rFonts w:ascii="Calibri" w:hAnsi="Calibri" w:cs="Calibri"/>
          <w:b/>
          <w:bCs/>
          <w:sz w:val="24"/>
        </w:rPr>
        <w:t xml:space="preserve">ravina“: </w:t>
      </w:r>
      <w:r w:rsidRPr="006F3E7A">
        <w:rPr>
          <w:rFonts w:ascii="Calibri" w:hAnsi="Calibri" w:cs="Calibri"/>
          <w:sz w:val="24"/>
          <w:szCs w:val="24"/>
        </w:rPr>
        <w:t xml:space="preserve">Potpisan sporazum o programskoj i projektnoj suradnji između TZ Koprivnica, TZP Središnja Podravina, općine Rasinja i općine Peteranec. Udruživanjem svih mikroregija u jedinstvenu destinaciju </w:t>
      </w:r>
      <w:r w:rsidR="006F3E7A">
        <w:rPr>
          <w:rFonts w:ascii="Calibri" w:hAnsi="Calibri" w:cs="Calibri"/>
          <w:sz w:val="24"/>
          <w:szCs w:val="24"/>
        </w:rPr>
        <w:t xml:space="preserve">Skrivena </w:t>
      </w:r>
      <w:r w:rsidRPr="006F3E7A">
        <w:rPr>
          <w:rFonts w:ascii="Calibri" w:hAnsi="Calibri" w:cs="Calibri"/>
          <w:sz w:val="24"/>
          <w:szCs w:val="24"/>
        </w:rPr>
        <w:t>Podravina omogućen je razvoj nove turističke ponude, raznih turističkih sadržaja: vinske ceste, biciklističke staze, kulturne rute, manifestacije, zajednički projekti na domaćem i inozemnom tržištu i sl. Intencija je nastaviti suradnju i razvijati nove turističke sadržaje i ponudu.</w:t>
      </w:r>
    </w:p>
    <w:p w14:paraId="2BA4190E" w14:textId="1644DD04" w:rsidR="00B50C8D" w:rsidRPr="00E50549" w:rsidRDefault="00B50C8D" w:rsidP="006A0FCE">
      <w:pPr>
        <w:ind w:left="360" w:right="-330"/>
        <w:jc w:val="both"/>
        <w:rPr>
          <w:sz w:val="24"/>
          <w:lang w:val="de-DE"/>
        </w:rPr>
      </w:pPr>
      <w:r w:rsidRPr="00E50549">
        <w:rPr>
          <w:sz w:val="24"/>
          <w:lang w:val="de-DE"/>
        </w:rPr>
        <w:t xml:space="preserve">Potrebna sredstva: </w:t>
      </w:r>
      <w:r w:rsidR="001522AE">
        <w:rPr>
          <w:sz w:val="24"/>
          <w:lang w:val="de-DE"/>
        </w:rPr>
        <w:t>5</w:t>
      </w:r>
      <w:r w:rsidRPr="00E50549">
        <w:rPr>
          <w:sz w:val="24"/>
          <w:lang w:val="de-DE"/>
        </w:rPr>
        <w:t>0.000,00 kuna</w:t>
      </w:r>
    </w:p>
    <w:p w14:paraId="6A61A496" w14:textId="3E4666CB" w:rsidR="00EF76C5" w:rsidRPr="00E50549" w:rsidRDefault="00EF76C5" w:rsidP="006A0FCE">
      <w:pPr>
        <w:ind w:right="-330"/>
        <w:jc w:val="both"/>
        <w:rPr>
          <w:sz w:val="24"/>
          <w:lang w:val="de-DE"/>
        </w:rPr>
      </w:pPr>
      <w:r w:rsidRPr="00E50549">
        <w:rPr>
          <w:sz w:val="24"/>
          <w:lang w:val="de-DE"/>
        </w:rPr>
        <w:t>2.2. Sustavi označavanja kvalitete turističkog proizvoda:</w:t>
      </w:r>
    </w:p>
    <w:p w14:paraId="2DE23D68" w14:textId="36C9C7DD" w:rsidR="00EF76C5" w:rsidRPr="00E50549" w:rsidRDefault="00EF76C5" w:rsidP="006A0FCE">
      <w:pPr>
        <w:ind w:right="-330"/>
        <w:jc w:val="both"/>
        <w:rPr>
          <w:sz w:val="24"/>
        </w:rPr>
      </w:pPr>
      <w:r w:rsidRPr="00E50549">
        <w:rPr>
          <w:sz w:val="24"/>
        </w:rPr>
        <w:t>Fokus na turističku industriju:</w:t>
      </w:r>
    </w:p>
    <w:p w14:paraId="60D9870E" w14:textId="2D6453D1" w:rsidR="000B5DFF" w:rsidRPr="00E50549" w:rsidRDefault="00EF76C5" w:rsidP="006A0FCE">
      <w:pPr>
        <w:pStyle w:val="ListParagraph"/>
        <w:numPr>
          <w:ilvl w:val="0"/>
          <w:numId w:val="5"/>
        </w:numPr>
        <w:ind w:right="-330"/>
        <w:jc w:val="both"/>
        <w:rPr>
          <w:sz w:val="24"/>
        </w:rPr>
      </w:pPr>
      <w:r w:rsidRPr="00E50549">
        <w:rPr>
          <w:sz w:val="24"/>
        </w:rPr>
        <w:t>Označavanje kvalitete, npr. labelling obiteljskog smještaja i općenito dodjela oznaka kvalitete u koordinaciji s regionalnom turističkom zajednicom</w:t>
      </w:r>
      <w:r w:rsidR="000B5DFF" w:rsidRPr="00E50549">
        <w:rPr>
          <w:sz w:val="24"/>
        </w:rPr>
        <w:t>, poticanje postojećeg labellinga „Okusi Podravine i Prigorja“</w:t>
      </w:r>
      <w:r w:rsidR="003273F9" w:rsidRPr="00E50549">
        <w:rPr>
          <w:sz w:val="24"/>
        </w:rPr>
        <w:t xml:space="preserve"> </w:t>
      </w:r>
    </w:p>
    <w:p w14:paraId="76054A9D" w14:textId="21988E4A" w:rsidR="00EF76C5" w:rsidRPr="00E50549" w:rsidRDefault="000B5DFF" w:rsidP="006A0FCE">
      <w:pPr>
        <w:pStyle w:val="ListParagraph"/>
        <w:numPr>
          <w:ilvl w:val="0"/>
          <w:numId w:val="5"/>
        </w:numPr>
        <w:ind w:right="-330"/>
        <w:jc w:val="both"/>
        <w:rPr>
          <w:sz w:val="24"/>
        </w:rPr>
      </w:pPr>
      <w:r w:rsidRPr="00E50549">
        <w:rPr>
          <w:sz w:val="24"/>
        </w:rPr>
        <w:t>Stvaranje preduvjeta</w:t>
      </w:r>
      <w:r w:rsidR="003273F9" w:rsidRPr="00E50549">
        <w:rPr>
          <w:sz w:val="24"/>
        </w:rPr>
        <w:t xml:space="preserve"> </w:t>
      </w:r>
      <w:r w:rsidRPr="00E50549">
        <w:rPr>
          <w:sz w:val="24"/>
        </w:rPr>
        <w:t>za provođenje</w:t>
      </w:r>
      <w:r w:rsidR="003273F9" w:rsidRPr="00E50549">
        <w:rPr>
          <w:sz w:val="24"/>
        </w:rPr>
        <w:t xml:space="preserve"> labelling</w:t>
      </w:r>
      <w:r w:rsidRPr="00E50549">
        <w:rPr>
          <w:sz w:val="24"/>
        </w:rPr>
        <w:t>a</w:t>
      </w:r>
      <w:r w:rsidR="003273F9" w:rsidRPr="00E50549">
        <w:rPr>
          <w:sz w:val="24"/>
        </w:rPr>
        <w:t xml:space="preserve"> </w:t>
      </w:r>
      <w:r w:rsidRPr="00E50549">
        <w:rPr>
          <w:sz w:val="24"/>
        </w:rPr>
        <w:t>„E</w:t>
      </w:r>
      <w:r w:rsidR="003273F9" w:rsidRPr="00E50549">
        <w:rPr>
          <w:sz w:val="24"/>
        </w:rPr>
        <w:t>ko turi</w:t>
      </w:r>
      <w:r w:rsidRPr="00E50549">
        <w:rPr>
          <w:sz w:val="24"/>
        </w:rPr>
        <w:t>stičke destinacije“ – označava subjekt koji u svojoj ponudi nudi jela i proizvode pridržavajući se ekološke održivosti koristeći lokalne i domaće namirnice. Aktivnost će se provoditi u suradnji sa regionalnom TZ Koprivničko-križevačke županije</w:t>
      </w:r>
    </w:p>
    <w:p w14:paraId="5D42C0FB" w14:textId="099C9C21" w:rsidR="00EF76C5" w:rsidRPr="00E50549" w:rsidRDefault="00EF76C5" w:rsidP="006A0FCE">
      <w:pPr>
        <w:pStyle w:val="ListParagraph"/>
        <w:numPr>
          <w:ilvl w:val="0"/>
          <w:numId w:val="5"/>
        </w:numPr>
        <w:ind w:right="-330"/>
        <w:jc w:val="both"/>
        <w:rPr>
          <w:sz w:val="24"/>
        </w:rPr>
      </w:pPr>
      <w:r w:rsidRPr="00E50549">
        <w:rPr>
          <w:sz w:val="24"/>
        </w:rPr>
        <w:t xml:space="preserve">Suradnja s </w:t>
      </w:r>
      <w:r w:rsidR="00CF6B5F" w:rsidRPr="00E50549">
        <w:rPr>
          <w:sz w:val="24"/>
        </w:rPr>
        <w:t xml:space="preserve">ugostiteljima, pružateljima usluge smještaja i predstavnicima kulturne </w:t>
      </w:r>
      <w:r w:rsidRPr="00E50549">
        <w:rPr>
          <w:sz w:val="24"/>
        </w:rPr>
        <w:t>turističke ponude po proizvodima radi podizanja kvalitete ponude u destinaciji</w:t>
      </w:r>
    </w:p>
    <w:p w14:paraId="14E8629F" w14:textId="6D5BD2C2" w:rsidR="00BE64D3" w:rsidRPr="00E50549" w:rsidRDefault="000B5DFF" w:rsidP="00F63891">
      <w:pPr>
        <w:ind w:left="360" w:right="-330"/>
        <w:jc w:val="both"/>
        <w:rPr>
          <w:sz w:val="24"/>
        </w:rPr>
      </w:pPr>
      <w:r w:rsidRPr="00E50549">
        <w:rPr>
          <w:sz w:val="24"/>
        </w:rPr>
        <w:t>Potrebna sredstva: 5.000</w:t>
      </w:r>
      <w:r w:rsidR="00B50C8D" w:rsidRPr="00E50549">
        <w:rPr>
          <w:sz w:val="24"/>
        </w:rPr>
        <w:t>,00 kuna</w:t>
      </w:r>
    </w:p>
    <w:p w14:paraId="7F5E8E5C" w14:textId="77777777" w:rsidR="00BE64D3" w:rsidRPr="00E50549" w:rsidRDefault="00BE64D3" w:rsidP="006A0FCE">
      <w:pPr>
        <w:ind w:left="360" w:right="-330"/>
        <w:jc w:val="both"/>
        <w:rPr>
          <w:sz w:val="24"/>
        </w:rPr>
      </w:pPr>
    </w:p>
    <w:p w14:paraId="604F16E6" w14:textId="63B18C81" w:rsidR="00EF76C5" w:rsidRPr="00E50549" w:rsidRDefault="00EF76C5" w:rsidP="006A0FCE">
      <w:pPr>
        <w:ind w:right="-330"/>
        <w:jc w:val="both"/>
        <w:rPr>
          <w:sz w:val="24"/>
        </w:rPr>
      </w:pPr>
      <w:r w:rsidRPr="00E50549">
        <w:rPr>
          <w:sz w:val="24"/>
        </w:rPr>
        <w:t xml:space="preserve">2.3. Podrška razvoju turističkih događanja: </w:t>
      </w:r>
    </w:p>
    <w:p w14:paraId="6F415CC9" w14:textId="77777777" w:rsidR="00741B7A" w:rsidRDefault="00EF76C5" w:rsidP="006A0FCE">
      <w:pPr>
        <w:pStyle w:val="ListParagraph"/>
        <w:numPr>
          <w:ilvl w:val="0"/>
          <w:numId w:val="6"/>
        </w:numPr>
        <w:ind w:right="-330"/>
        <w:jc w:val="both"/>
        <w:rPr>
          <w:sz w:val="24"/>
        </w:rPr>
      </w:pPr>
      <w:r w:rsidRPr="00E50549">
        <w:rPr>
          <w:sz w:val="24"/>
        </w:rPr>
        <w:t>Organizacija i suorganizacija događanja, kulturno-zabavnih, sportskih i sl. manifestacija u destinaciji</w:t>
      </w:r>
      <w:r w:rsidR="00BE64D3" w:rsidRPr="00E50549">
        <w:rPr>
          <w:sz w:val="24"/>
        </w:rPr>
        <w:t xml:space="preserve">: </w:t>
      </w:r>
    </w:p>
    <w:p w14:paraId="1EA56652" w14:textId="0CE5B553" w:rsidR="00741B7A" w:rsidRPr="00741B7A" w:rsidRDefault="00741B7A" w:rsidP="00741B7A">
      <w:pPr>
        <w:pStyle w:val="ListParagraph"/>
        <w:numPr>
          <w:ilvl w:val="1"/>
          <w:numId w:val="6"/>
        </w:numPr>
        <w:ind w:right="-330"/>
        <w:jc w:val="both"/>
        <w:rPr>
          <w:sz w:val="24"/>
        </w:rPr>
      </w:pPr>
      <w:r>
        <w:rPr>
          <w:sz w:val="24"/>
        </w:rPr>
        <w:t>Virovska prkačijada – Međunarodni festival izvornih kolača (prkača)</w:t>
      </w:r>
      <w:r w:rsidRPr="00741B7A">
        <w:t xml:space="preserve"> </w:t>
      </w:r>
      <w:r>
        <w:t xml:space="preserve">s ciljem </w:t>
      </w:r>
      <w:r>
        <w:rPr>
          <w:sz w:val="24"/>
        </w:rPr>
        <w:t>oživljavanja</w:t>
      </w:r>
      <w:r w:rsidRPr="00741B7A">
        <w:rPr>
          <w:sz w:val="24"/>
        </w:rPr>
        <w:t xml:space="preserve"> bogate tradicije Virja i Podravine, te stvaranje ozračja za buduće turističke proizvode, te kako bi se prezentirala bogata baština Središnje Podravine.</w:t>
      </w:r>
      <w:r>
        <w:rPr>
          <w:sz w:val="24"/>
        </w:rPr>
        <w:t xml:space="preserve"> </w:t>
      </w:r>
      <w:r w:rsidRPr="00741B7A">
        <w:rPr>
          <w:sz w:val="24"/>
        </w:rPr>
        <w:t>Manifestacija Virovska prkačijada sastoji se od stručnih predavanja i radionica, natjecanja Osnovnih škola Podravine, natjecanju vrtića Podravine, natjecanja žena Podravine i drugih krajeva u pripremi or</w:t>
      </w:r>
      <w:r>
        <w:rPr>
          <w:sz w:val="24"/>
        </w:rPr>
        <w:t>i</w:t>
      </w:r>
      <w:r w:rsidRPr="00741B7A">
        <w:rPr>
          <w:sz w:val="24"/>
        </w:rPr>
        <w:t>ginalnih prkača. Osim toga, svake godine sudjeluju vrhunski slastičari iz raznih dijelova svijeta.</w:t>
      </w:r>
    </w:p>
    <w:p w14:paraId="6A289800" w14:textId="5100F55B" w:rsidR="00741B7A" w:rsidRDefault="00BE64D3" w:rsidP="00741B7A">
      <w:pPr>
        <w:pStyle w:val="ListParagraph"/>
        <w:numPr>
          <w:ilvl w:val="1"/>
          <w:numId w:val="6"/>
        </w:numPr>
        <w:ind w:right="-330"/>
        <w:jc w:val="both"/>
        <w:rPr>
          <w:sz w:val="24"/>
        </w:rPr>
      </w:pPr>
      <w:r w:rsidRPr="00E50549">
        <w:rPr>
          <w:sz w:val="24"/>
        </w:rPr>
        <w:lastRenderedPageBreak/>
        <w:t>S</w:t>
      </w:r>
      <w:r w:rsidR="00741B7A">
        <w:rPr>
          <w:sz w:val="24"/>
        </w:rPr>
        <w:t xml:space="preserve">krivena Podravina – 2021. godine prvi puta smo organizirali </w:t>
      </w:r>
      <w:r w:rsidR="00741B7A" w:rsidRPr="00741B7A">
        <w:rPr>
          <w:sz w:val="24"/>
        </w:rPr>
        <w:t>mini manifestaciju „Skrivena Podravina“ na Šoderici koja je okupila stare zanate, Udruge žena te ostale Udruge iz našeg područja koje su predstavili svoju tradiciju, običaje, umjetnost, razne slastice i delicije.</w:t>
      </w:r>
      <w:r w:rsidR="00741B7A">
        <w:rPr>
          <w:sz w:val="24"/>
        </w:rPr>
        <w:t xml:space="preserve"> Vjerujemo kako će ova manifestacija poprimiti tradicionalan karakter održavanje svake godine u ljetni mjesecima.</w:t>
      </w:r>
    </w:p>
    <w:p w14:paraId="2D682108" w14:textId="6E471F3F" w:rsidR="00EF76C5" w:rsidRPr="00E50549" w:rsidRDefault="00BE64D3" w:rsidP="00741B7A">
      <w:pPr>
        <w:pStyle w:val="ListParagraph"/>
        <w:numPr>
          <w:ilvl w:val="1"/>
          <w:numId w:val="6"/>
        </w:numPr>
        <w:ind w:right="-330"/>
        <w:jc w:val="both"/>
        <w:rPr>
          <w:sz w:val="24"/>
        </w:rPr>
      </w:pPr>
      <w:r w:rsidRPr="00E50549">
        <w:rPr>
          <w:sz w:val="24"/>
        </w:rPr>
        <w:t xml:space="preserve">Šetnja kroz naivu u Hlebinama i sl. </w:t>
      </w:r>
    </w:p>
    <w:p w14:paraId="1EEDEE35" w14:textId="5BB36278" w:rsidR="00EF76C5" w:rsidRPr="00E50549" w:rsidRDefault="00EF76C5" w:rsidP="006A0FCE">
      <w:pPr>
        <w:pStyle w:val="ListParagraph"/>
        <w:numPr>
          <w:ilvl w:val="0"/>
          <w:numId w:val="6"/>
        </w:numPr>
        <w:ind w:right="-330"/>
        <w:jc w:val="both"/>
        <w:rPr>
          <w:sz w:val="24"/>
        </w:rPr>
      </w:pPr>
      <w:r w:rsidRPr="00E50549">
        <w:rPr>
          <w:sz w:val="24"/>
        </w:rPr>
        <w:t>Sufinanciranje manifestacija u organizaciji drugih subjekata koje su od značaja za razvoj, promociju i učinkovito turističko i gospodarsko pozicioniranje destinacije</w:t>
      </w:r>
      <w:r w:rsidR="00CF6B5F" w:rsidRPr="00E50549">
        <w:rPr>
          <w:sz w:val="24"/>
        </w:rPr>
        <w:t xml:space="preserve"> središnja Podravina</w:t>
      </w:r>
    </w:p>
    <w:p w14:paraId="0BD58FCE" w14:textId="6EC0C263" w:rsidR="00B50C8D" w:rsidRDefault="00B50C8D" w:rsidP="006A0FCE">
      <w:pPr>
        <w:ind w:left="360" w:right="-330"/>
        <w:jc w:val="both"/>
        <w:rPr>
          <w:sz w:val="24"/>
          <w:lang w:val="de-DE"/>
        </w:rPr>
      </w:pPr>
      <w:r w:rsidRPr="00E50549">
        <w:rPr>
          <w:sz w:val="24"/>
          <w:lang w:val="de-DE"/>
        </w:rPr>
        <w:t xml:space="preserve">Potrebna sredstva: </w:t>
      </w:r>
      <w:r w:rsidR="001522AE">
        <w:rPr>
          <w:sz w:val="24"/>
          <w:lang w:val="de-DE"/>
        </w:rPr>
        <w:t>11</w:t>
      </w:r>
      <w:r w:rsidR="00BE64D3" w:rsidRPr="00E50549">
        <w:rPr>
          <w:sz w:val="24"/>
          <w:lang w:val="de-DE"/>
        </w:rPr>
        <w:t>0</w:t>
      </w:r>
      <w:r w:rsidRPr="00E50549">
        <w:rPr>
          <w:sz w:val="24"/>
          <w:lang w:val="de-DE"/>
        </w:rPr>
        <w:t>.000,00 kuna</w:t>
      </w:r>
    </w:p>
    <w:p w14:paraId="73EE42C1" w14:textId="77777777" w:rsidR="006F3E7A" w:rsidRPr="00E50549" w:rsidRDefault="006F3E7A" w:rsidP="006A0FCE">
      <w:pPr>
        <w:ind w:left="360" w:right="-330"/>
        <w:jc w:val="both"/>
        <w:rPr>
          <w:sz w:val="24"/>
          <w:lang w:val="de-DE"/>
        </w:rPr>
      </w:pPr>
    </w:p>
    <w:p w14:paraId="021CCCB5" w14:textId="38978303" w:rsidR="00EF76C5" w:rsidRPr="00E50549" w:rsidRDefault="00EF76C5" w:rsidP="006A0FCE">
      <w:pPr>
        <w:ind w:right="-330"/>
        <w:jc w:val="both"/>
        <w:rPr>
          <w:sz w:val="24"/>
          <w:lang w:val="de-DE"/>
        </w:rPr>
      </w:pPr>
      <w:r w:rsidRPr="00E50549">
        <w:rPr>
          <w:sz w:val="24"/>
          <w:lang w:val="de-DE"/>
        </w:rPr>
        <w:t>2.4. Turistička infrastruktura:</w:t>
      </w:r>
    </w:p>
    <w:p w14:paraId="2789ECD9" w14:textId="525D7241" w:rsidR="00EF76C5" w:rsidRPr="00E50549" w:rsidRDefault="00EF76C5" w:rsidP="006A0FCE">
      <w:pPr>
        <w:pStyle w:val="ListParagraph"/>
        <w:numPr>
          <w:ilvl w:val="0"/>
          <w:numId w:val="7"/>
        </w:numPr>
        <w:ind w:right="-330"/>
        <w:jc w:val="both"/>
        <w:rPr>
          <w:sz w:val="24"/>
        </w:rPr>
      </w:pPr>
      <w:r w:rsidRPr="00E50549">
        <w:rPr>
          <w:sz w:val="24"/>
          <w:lang w:val="de-DE"/>
        </w:rPr>
        <w:t xml:space="preserve">Upravljanje turističkom infrastrukturom danom na upravljanje od strane lokalne/regionalne samouprave i dr. </w:t>
      </w:r>
      <w:r w:rsidR="00CF6B5F" w:rsidRPr="00E50549">
        <w:rPr>
          <w:sz w:val="24"/>
          <w:lang w:val="de-DE"/>
        </w:rPr>
        <w:t xml:space="preserve"> </w:t>
      </w:r>
      <w:r w:rsidR="00CF6B5F" w:rsidRPr="00E50549">
        <w:rPr>
          <w:sz w:val="24"/>
        </w:rPr>
        <w:t>(</w:t>
      </w:r>
      <w:r w:rsidR="00B50C8D" w:rsidRPr="00E50549">
        <w:rPr>
          <w:sz w:val="24"/>
        </w:rPr>
        <w:t>postavljanje smeđe turističke signalizacije, interpretacijskih ploča i dr.</w:t>
      </w:r>
      <w:r w:rsidR="00CF6B5F" w:rsidRPr="00E50549">
        <w:rPr>
          <w:sz w:val="24"/>
        </w:rPr>
        <w:t>)</w:t>
      </w:r>
    </w:p>
    <w:p w14:paraId="65F51C20" w14:textId="76B15E40" w:rsidR="00F36FB9" w:rsidRDefault="00BE64D3" w:rsidP="006A0FCE">
      <w:pPr>
        <w:ind w:left="360" w:right="-330"/>
        <w:jc w:val="both"/>
        <w:rPr>
          <w:sz w:val="24"/>
        </w:rPr>
      </w:pPr>
      <w:r w:rsidRPr="00E50549">
        <w:rPr>
          <w:sz w:val="24"/>
        </w:rPr>
        <w:t>Potrebna sredstva: 2</w:t>
      </w:r>
      <w:r w:rsidR="00F36FB9" w:rsidRPr="00E50549">
        <w:rPr>
          <w:sz w:val="24"/>
        </w:rPr>
        <w:t>0.000,00 kuna</w:t>
      </w:r>
    </w:p>
    <w:p w14:paraId="0D79AE2C" w14:textId="77777777" w:rsidR="00F63891" w:rsidRPr="00E50549" w:rsidRDefault="00F63891" w:rsidP="006A0FCE">
      <w:pPr>
        <w:ind w:left="360" w:right="-330"/>
        <w:jc w:val="both"/>
        <w:rPr>
          <w:sz w:val="24"/>
        </w:rPr>
      </w:pPr>
    </w:p>
    <w:p w14:paraId="71E719C9" w14:textId="66AB5C12" w:rsidR="0064389A" w:rsidRPr="00E50549" w:rsidRDefault="0064389A" w:rsidP="006A0FCE">
      <w:pPr>
        <w:ind w:right="-330"/>
        <w:jc w:val="both"/>
        <w:rPr>
          <w:sz w:val="24"/>
        </w:rPr>
      </w:pPr>
      <w:r w:rsidRPr="00E50549">
        <w:rPr>
          <w:sz w:val="24"/>
        </w:rPr>
        <w:t>2.5. Podrška turističkoj industriji:</w:t>
      </w:r>
    </w:p>
    <w:p w14:paraId="56F814B3" w14:textId="140877FC" w:rsidR="0064389A" w:rsidRPr="00E50549" w:rsidRDefault="0064389A" w:rsidP="006A0FCE">
      <w:pPr>
        <w:pStyle w:val="ListParagraph"/>
        <w:numPr>
          <w:ilvl w:val="0"/>
          <w:numId w:val="7"/>
        </w:numPr>
        <w:ind w:right="-330"/>
        <w:jc w:val="both"/>
        <w:rPr>
          <w:sz w:val="24"/>
        </w:rPr>
      </w:pPr>
      <w:r w:rsidRPr="00E50549">
        <w:rPr>
          <w:sz w:val="24"/>
        </w:rPr>
        <w:t>Podrška subjektima u svrhu razvoja programa povezanih neposredno s turističkim proizvodom</w:t>
      </w:r>
      <w:r w:rsidR="00CF6B5F" w:rsidRPr="00E50549">
        <w:rPr>
          <w:sz w:val="24"/>
        </w:rPr>
        <w:t xml:space="preserve"> prvenstveno kroz edukaciju, povezivanje, umrežavanje i promociju putem naših komunikacijskih kanala</w:t>
      </w:r>
    </w:p>
    <w:p w14:paraId="1CFF39A1" w14:textId="3D3AE3B2" w:rsidR="0064389A" w:rsidRPr="00E50549" w:rsidRDefault="0064389A" w:rsidP="006A0FCE">
      <w:pPr>
        <w:pStyle w:val="ListParagraph"/>
        <w:numPr>
          <w:ilvl w:val="0"/>
          <w:numId w:val="7"/>
        </w:numPr>
        <w:ind w:right="-330"/>
        <w:jc w:val="both"/>
        <w:rPr>
          <w:sz w:val="24"/>
        </w:rPr>
      </w:pPr>
      <w:r w:rsidRPr="00E50549">
        <w:rPr>
          <w:sz w:val="24"/>
        </w:rPr>
        <w:t>Potpore za programe dionika u turističkoj aktivnosti na razini destinacije iz vlastitih sredstava</w:t>
      </w:r>
      <w:r w:rsidR="00CF6B5F" w:rsidRPr="00E50549">
        <w:rPr>
          <w:sz w:val="24"/>
        </w:rPr>
        <w:t xml:space="preserve"> u skladu s financijskim mogućnostima</w:t>
      </w:r>
    </w:p>
    <w:p w14:paraId="4E7D579D" w14:textId="1032121A" w:rsidR="0064389A" w:rsidRPr="00E50549" w:rsidRDefault="0064389A" w:rsidP="006A0FCE">
      <w:pPr>
        <w:pStyle w:val="ListParagraph"/>
        <w:numPr>
          <w:ilvl w:val="0"/>
          <w:numId w:val="7"/>
        </w:numPr>
        <w:ind w:right="-330"/>
        <w:jc w:val="both"/>
        <w:rPr>
          <w:sz w:val="24"/>
        </w:rPr>
      </w:pPr>
      <w:r w:rsidRPr="00E50549">
        <w:rPr>
          <w:sz w:val="24"/>
        </w:rPr>
        <w:t>Potpore programima destinacijskih menadžment kompanija</w:t>
      </w:r>
      <w:r w:rsidR="00CF6B5F" w:rsidRPr="00E50549">
        <w:rPr>
          <w:sz w:val="24"/>
        </w:rPr>
        <w:t xml:space="preserve"> (poticanje razvoja DMK u destinaciji)</w:t>
      </w:r>
    </w:p>
    <w:p w14:paraId="6BED26D1" w14:textId="67425DF2" w:rsidR="00F36FB9" w:rsidRPr="00E50549" w:rsidRDefault="00745642" w:rsidP="006A0FCE">
      <w:pPr>
        <w:ind w:left="360" w:right="-330"/>
        <w:jc w:val="both"/>
        <w:rPr>
          <w:sz w:val="24"/>
        </w:rPr>
      </w:pPr>
      <w:r w:rsidRPr="00E50549">
        <w:rPr>
          <w:sz w:val="24"/>
        </w:rPr>
        <w:t>Potrebna sredstva: 5</w:t>
      </w:r>
      <w:r w:rsidR="00F36FB9" w:rsidRPr="00E50549">
        <w:rPr>
          <w:sz w:val="24"/>
        </w:rPr>
        <w:t>.000,00 kuna</w:t>
      </w:r>
    </w:p>
    <w:p w14:paraId="53522FE0" w14:textId="77777777" w:rsidR="00BE64D3" w:rsidRPr="00E50549" w:rsidRDefault="00BE64D3" w:rsidP="006A0FCE">
      <w:pPr>
        <w:ind w:left="360" w:right="-330"/>
        <w:jc w:val="both"/>
        <w:rPr>
          <w:sz w:val="24"/>
        </w:rPr>
      </w:pPr>
    </w:p>
    <w:p w14:paraId="2E2CAF4A" w14:textId="29ACA6F4" w:rsidR="0064389A" w:rsidRPr="00E50549" w:rsidRDefault="0064389A" w:rsidP="006A0FCE">
      <w:pPr>
        <w:ind w:right="-330"/>
        <w:jc w:val="both"/>
        <w:rPr>
          <w:b/>
          <w:sz w:val="28"/>
        </w:rPr>
      </w:pPr>
      <w:r w:rsidRPr="00E50549">
        <w:rPr>
          <w:b/>
          <w:sz w:val="28"/>
        </w:rPr>
        <w:t>3. KOMUNIKACIJA I OGLAŠAVANJE</w:t>
      </w:r>
    </w:p>
    <w:p w14:paraId="5F8DAEE3" w14:textId="1789C3E1" w:rsidR="0064389A" w:rsidRPr="00E50549" w:rsidRDefault="0064389A" w:rsidP="006A0FCE">
      <w:pPr>
        <w:ind w:right="-330"/>
        <w:jc w:val="both"/>
        <w:rPr>
          <w:sz w:val="24"/>
        </w:rPr>
      </w:pPr>
      <w:r w:rsidRPr="00E50549">
        <w:rPr>
          <w:sz w:val="24"/>
        </w:rPr>
        <w:t xml:space="preserve">3.1. Sajmovi, posebne prezentacije i poslovne radionice: </w:t>
      </w:r>
    </w:p>
    <w:p w14:paraId="1B2C48BD" w14:textId="69CA0C13" w:rsidR="0064389A" w:rsidRPr="00E50549" w:rsidRDefault="0064389A" w:rsidP="006A0FCE">
      <w:pPr>
        <w:pStyle w:val="ListParagraph"/>
        <w:numPr>
          <w:ilvl w:val="0"/>
          <w:numId w:val="8"/>
        </w:numPr>
        <w:ind w:right="-330"/>
        <w:jc w:val="both"/>
        <w:rPr>
          <w:sz w:val="24"/>
        </w:rPr>
      </w:pPr>
      <w:r w:rsidRPr="00E50549">
        <w:rPr>
          <w:sz w:val="24"/>
        </w:rPr>
        <w:t>Nastupi na sajmovima u koordinaciji s regionalnom tur</w:t>
      </w:r>
      <w:r w:rsidR="00F36FB9" w:rsidRPr="00E50549">
        <w:rPr>
          <w:sz w:val="24"/>
        </w:rPr>
        <w:t>i</w:t>
      </w:r>
      <w:r w:rsidRPr="00E50549">
        <w:rPr>
          <w:sz w:val="24"/>
        </w:rPr>
        <w:t>stičkom zajednicom</w:t>
      </w:r>
    </w:p>
    <w:p w14:paraId="63CC1FA9" w14:textId="2182BDCF" w:rsidR="0064389A" w:rsidRPr="00E50549" w:rsidRDefault="0064389A" w:rsidP="006A0FCE">
      <w:pPr>
        <w:pStyle w:val="ListParagraph"/>
        <w:numPr>
          <w:ilvl w:val="0"/>
          <w:numId w:val="8"/>
        </w:numPr>
        <w:ind w:right="-330"/>
        <w:jc w:val="both"/>
        <w:rPr>
          <w:sz w:val="24"/>
        </w:rPr>
      </w:pPr>
      <w:r w:rsidRPr="00E50549">
        <w:rPr>
          <w:sz w:val="24"/>
        </w:rPr>
        <w:t xml:space="preserve">Posebne prezentacije turističke ponude destinacije u koordinaciji s regionalnom turističkom zajednicom </w:t>
      </w:r>
      <w:r w:rsidR="005730B0" w:rsidRPr="00E50549">
        <w:rPr>
          <w:sz w:val="24"/>
        </w:rPr>
        <w:t>prema mogućnostima i potrebi</w:t>
      </w:r>
    </w:p>
    <w:p w14:paraId="2FB870E3" w14:textId="3BD354FD" w:rsidR="00445574" w:rsidRDefault="00BE64D3" w:rsidP="006A0FCE">
      <w:pPr>
        <w:ind w:left="360" w:right="-330"/>
        <w:jc w:val="both"/>
        <w:rPr>
          <w:sz w:val="24"/>
        </w:rPr>
      </w:pPr>
      <w:r w:rsidRPr="00E50549">
        <w:rPr>
          <w:sz w:val="24"/>
        </w:rPr>
        <w:t>Potrebna sredstva: 5</w:t>
      </w:r>
      <w:r w:rsidR="00445574" w:rsidRPr="00E50549">
        <w:rPr>
          <w:sz w:val="24"/>
        </w:rPr>
        <w:t>.000,00 kuna</w:t>
      </w:r>
    </w:p>
    <w:p w14:paraId="357054DD" w14:textId="31746BCB" w:rsidR="00190090" w:rsidRDefault="00190090" w:rsidP="006A0FCE">
      <w:pPr>
        <w:ind w:left="360" w:right="-330"/>
        <w:jc w:val="both"/>
        <w:rPr>
          <w:sz w:val="24"/>
        </w:rPr>
      </w:pPr>
    </w:p>
    <w:p w14:paraId="5A58057D" w14:textId="77777777" w:rsidR="00190090" w:rsidRPr="00E50549" w:rsidRDefault="00190090" w:rsidP="006A0FCE">
      <w:pPr>
        <w:ind w:left="360" w:right="-330"/>
        <w:jc w:val="both"/>
        <w:rPr>
          <w:sz w:val="24"/>
        </w:rPr>
      </w:pPr>
    </w:p>
    <w:p w14:paraId="2243242D" w14:textId="29397D71" w:rsidR="0064389A" w:rsidRPr="00E50549" w:rsidRDefault="0064389A" w:rsidP="006A0FCE">
      <w:pPr>
        <w:ind w:right="-330"/>
        <w:jc w:val="both"/>
        <w:rPr>
          <w:sz w:val="24"/>
        </w:rPr>
      </w:pPr>
      <w:r w:rsidRPr="00E50549">
        <w:rPr>
          <w:sz w:val="24"/>
        </w:rPr>
        <w:lastRenderedPageBreak/>
        <w:t>3.2. Suradnja s organizatorima putovanja:</w:t>
      </w:r>
    </w:p>
    <w:p w14:paraId="44418C0F" w14:textId="2D31A3FC" w:rsidR="00445574" w:rsidRPr="00E50549" w:rsidRDefault="0064389A" w:rsidP="006A0FCE">
      <w:pPr>
        <w:pStyle w:val="ListParagraph"/>
        <w:numPr>
          <w:ilvl w:val="0"/>
          <w:numId w:val="9"/>
        </w:numPr>
        <w:ind w:right="-330"/>
        <w:jc w:val="both"/>
        <w:rPr>
          <w:sz w:val="24"/>
        </w:rPr>
      </w:pPr>
      <w:r w:rsidRPr="00E50549">
        <w:rPr>
          <w:sz w:val="24"/>
        </w:rPr>
        <w:t>Pružanje podrške u organizaciji studijskih putovanja novinara, predstavnika organizatora putovanja i agenata u suradnji s regionalnom tur</w:t>
      </w:r>
      <w:r w:rsidR="00BE64D3" w:rsidRPr="00E50549">
        <w:rPr>
          <w:sz w:val="24"/>
        </w:rPr>
        <w:t>i</w:t>
      </w:r>
      <w:r w:rsidRPr="00E50549">
        <w:rPr>
          <w:sz w:val="24"/>
        </w:rPr>
        <w:t>stičkom zajednicom i HTZ-om</w:t>
      </w:r>
      <w:r w:rsidR="005730B0" w:rsidRPr="00E50549">
        <w:rPr>
          <w:sz w:val="24"/>
        </w:rPr>
        <w:t xml:space="preserve"> sukladno potrebi</w:t>
      </w:r>
    </w:p>
    <w:p w14:paraId="17498743" w14:textId="77C5EBF8" w:rsidR="00445574" w:rsidRPr="00E50549" w:rsidRDefault="00BE64D3" w:rsidP="006A0FCE">
      <w:pPr>
        <w:ind w:left="360" w:right="-330"/>
        <w:jc w:val="both"/>
        <w:rPr>
          <w:sz w:val="24"/>
          <w:lang w:val="de-DE"/>
        </w:rPr>
      </w:pPr>
      <w:r w:rsidRPr="00E50549">
        <w:rPr>
          <w:sz w:val="24"/>
          <w:lang w:val="de-DE"/>
        </w:rPr>
        <w:t xml:space="preserve">Potrebna sredstva: </w:t>
      </w:r>
      <w:r w:rsidR="00F63891">
        <w:rPr>
          <w:sz w:val="24"/>
          <w:lang w:val="de-DE"/>
        </w:rPr>
        <w:t>5</w:t>
      </w:r>
      <w:r w:rsidR="00445574" w:rsidRPr="00E50549">
        <w:rPr>
          <w:sz w:val="24"/>
          <w:lang w:val="de-DE"/>
        </w:rPr>
        <w:t>.000,00 kuna</w:t>
      </w:r>
    </w:p>
    <w:p w14:paraId="67AB7FE0" w14:textId="47691856" w:rsidR="0064389A" w:rsidRPr="00E50549" w:rsidRDefault="0064389A" w:rsidP="006A0FCE">
      <w:pPr>
        <w:ind w:right="-330"/>
        <w:jc w:val="both"/>
        <w:rPr>
          <w:sz w:val="24"/>
          <w:lang w:val="de-DE"/>
        </w:rPr>
      </w:pPr>
      <w:r w:rsidRPr="00E50549">
        <w:rPr>
          <w:sz w:val="24"/>
          <w:lang w:val="de-DE"/>
        </w:rPr>
        <w:t xml:space="preserve">3.3. Kreiranje promotivnog materijala: </w:t>
      </w:r>
    </w:p>
    <w:p w14:paraId="13DC08C6" w14:textId="0062BD98" w:rsidR="0064389A" w:rsidRPr="00E50549" w:rsidRDefault="0064389A" w:rsidP="006A0FCE">
      <w:pPr>
        <w:pStyle w:val="ListParagraph"/>
        <w:numPr>
          <w:ilvl w:val="0"/>
          <w:numId w:val="9"/>
        </w:numPr>
        <w:ind w:right="-330"/>
        <w:jc w:val="both"/>
        <w:rPr>
          <w:sz w:val="24"/>
          <w:lang w:val="de-DE"/>
        </w:rPr>
      </w:pPr>
      <w:r w:rsidRPr="00E50549">
        <w:rPr>
          <w:sz w:val="24"/>
          <w:lang w:val="de-DE"/>
        </w:rPr>
        <w:t>Izrada i distribucija informativnih materijala</w:t>
      </w:r>
      <w:r w:rsidR="005730B0" w:rsidRPr="00E50549">
        <w:rPr>
          <w:sz w:val="24"/>
          <w:lang w:val="de-DE"/>
        </w:rPr>
        <w:t xml:space="preserve"> (nova promotivna brošura, kuharica Virovske prkačijade, izrada turističke karte središnje Podravine)</w:t>
      </w:r>
    </w:p>
    <w:p w14:paraId="67102D95" w14:textId="230B12CE" w:rsidR="00745642" w:rsidRPr="00E50549" w:rsidRDefault="00745642" w:rsidP="006A0FCE">
      <w:pPr>
        <w:pStyle w:val="ListParagraph"/>
        <w:numPr>
          <w:ilvl w:val="0"/>
          <w:numId w:val="9"/>
        </w:numPr>
        <w:ind w:right="-330"/>
        <w:jc w:val="both"/>
        <w:rPr>
          <w:sz w:val="24"/>
          <w:lang w:val="de-DE"/>
        </w:rPr>
      </w:pPr>
      <w:r w:rsidRPr="00E50549">
        <w:rPr>
          <w:sz w:val="24"/>
          <w:lang w:val="de-DE"/>
        </w:rPr>
        <w:t>Produkcija video materijala – „Središnja Podravina“ – osigurati kvalitetne i atraktivne video materijale za komunikaciju s tržištem i promociju destinacije kroz digitalne kanale</w:t>
      </w:r>
    </w:p>
    <w:p w14:paraId="60C035D1" w14:textId="0D3C8D15" w:rsidR="0064389A" w:rsidRPr="00E50549" w:rsidRDefault="0064389A" w:rsidP="006A0FCE">
      <w:pPr>
        <w:pStyle w:val="ListParagraph"/>
        <w:numPr>
          <w:ilvl w:val="0"/>
          <w:numId w:val="9"/>
        </w:numPr>
        <w:ind w:right="-330"/>
        <w:jc w:val="both"/>
        <w:rPr>
          <w:sz w:val="24"/>
          <w:lang w:val="de-DE"/>
        </w:rPr>
      </w:pPr>
      <w:r w:rsidRPr="00E50549">
        <w:rPr>
          <w:sz w:val="24"/>
          <w:lang w:val="de-DE"/>
        </w:rPr>
        <w:t>Stvaranje, održavanje i redovno kreiranje sadržaja na mrežnim stranicama destinacije i društvenim mrežama</w:t>
      </w:r>
    </w:p>
    <w:p w14:paraId="66FD13AD" w14:textId="1704496D" w:rsidR="0064389A" w:rsidRDefault="0064389A" w:rsidP="006A0FCE">
      <w:pPr>
        <w:pStyle w:val="ListParagraph"/>
        <w:numPr>
          <w:ilvl w:val="0"/>
          <w:numId w:val="9"/>
        </w:numPr>
        <w:ind w:right="-330"/>
        <w:jc w:val="both"/>
        <w:rPr>
          <w:sz w:val="24"/>
          <w:lang w:val="de-DE"/>
        </w:rPr>
      </w:pPr>
      <w:r w:rsidRPr="00E50549">
        <w:rPr>
          <w:sz w:val="24"/>
          <w:lang w:val="de-DE"/>
        </w:rPr>
        <w:t>Priprema destinacijskih marketinških materijala sukladno definiranim standardima i upućivanje na usklađivanje i odobrenje LTZ u RTZ</w:t>
      </w:r>
      <w:r w:rsidR="00C1576B">
        <w:rPr>
          <w:sz w:val="24"/>
          <w:lang w:val="de-DE"/>
        </w:rPr>
        <w:t xml:space="preserve"> </w:t>
      </w:r>
    </w:p>
    <w:p w14:paraId="414A98E1" w14:textId="1A819F03" w:rsidR="00E65D8E" w:rsidRPr="00C1576B" w:rsidRDefault="00E65D8E" w:rsidP="006A0FCE">
      <w:pPr>
        <w:pStyle w:val="ListParagraph"/>
        <w:numPr>
          <w:ilvl w:val="0"/>
          <w:numId w:val="9"/>
        </w:numPr>
        <w:ind w:right="-330"/>
        <w:jc w:val="both"/>
        <w:rPr>
          <w:sz w:val="28"/>
          <w:lang w:val="de-DE"/>
        </w:rPr>
      </w:pPr>
      <w:r w:rsidRPr="00C1576B">
        <w:rPr>
          <w:rFonts w:ascii="Calibri" w:hAnsi="Calibri" w:cs="Calibri"/>
          <w:sz w:val="24"/>
        </w:rPr>
        <w:t>Produkcija tiskanih promo materijala za turističke proizvode - u skladu sa aktivnostima prema Programu rada za 2022. godinu za potrebe komunikacije s tržištem, promotivna događanja, sajmove, distribucije na info punktovima i oglašavanja</w:t>
      </w:r>
    </w:p>
    <w:p w14:paraId="79BDE358" w14:textId="6DC1B8D3" w:rsidR="00C1576B" w:rsidRPr="00C1576B" w:rsidRDefault="00C1576B" w:rsidP="006A0FCE">
      <w:pPr>
        <w:pStyle w:val="ListParagraph"/>
        <w:numPr>
          <w:ilvl w:val="0"/>
          <w:numId w:val="9"/>
        </w:numPr>
        <w:ind w:right="-330"/>
        <w:jc w:val="both"/>
        <w:rPr>
          <w:sz w:val="28"/>
          <w:lang w:val="de-DE"/>
        </w:rPr>
      </w:pPr>
      <w:r>
        <w:rPr>
          <w:rFonts w:ascii="Calibri" w:hAnsi="Calibri" w:cs="Calibri"/>
          <w:sz w:val="24"/>
        </w:rPr>
        <w:t>Produkcija promo materijala destinacije (kemijske olovke, fascikli, bilježnice itd.) sa logom TZP SP</w:t>
      </w:r>
    </w:p>
    <w:p w14:paraId="09EAE368" w14:textId="1F418B14" w:rsidR="00F53D07" w:rsidRPr="00E50549" w:rsidRDefault="00F63891" w:rsidP="006A0FCE">
      <w:pPr>
        <w:ind w:left="360" w:right="-330"/>
        <w:jc w:val="both"/>
        <w:rPr>
          <w:sz w:val="24"/>
        </w:rPr>
      </w:pPr>
      <w:r>
        <w:rPr>
          <w:sz w:val="24"/>
        </w:rPr>
        <w:t>Potrebna sredstva: 5</w:t>
      </w:r>
      <w:r w:rsidR="00F53D07" w:rsidRPr="00E50549">
        <w:rPr>
          <w:sz w:val="24"/>
        </w:rPr>
        <w:t>0.000,00 kuna</w:t>
      </w:r>
    </w:p>
    <w:p w14:paraId="29502A79" w14:textId="21F8591F" w:rsidR="0064389A" w:rsidRPr="00E50549" w:rsidRDefault="0064389A" w:rsidP="006A0FCE">
      <w:pPr>
        <w:ind w:right="-330"/>
        <w:jc w:val="both"/>
        <w:rPr>
          <w:sz w:val="24"/>
        </w:rPr>
      </w:pPr>
      <w:r w:rsidRPr="00E50549">
        <w:rPr>
          <w:sz w:val="24"/>
        </w:rPr>
        <w:t>3.4. Internetske stranice:</w:t>
      </w:r>
    </w:p>
    <w:p w14:paraId="4F7FC3EA" w14:textId="13C7151C" w:rsidR="0064389A" w:rsidRPr="00E50549" w:rsidRDefault="0064389A" w:rsidP="006A0FCE">
      <w:pPr>
        <w:pStyle w:val="ListParagraph"/>
        <w:numPr>
          <w:ilvl w:val="0"/>
          <w:numId w:val="10"/>
        </w:numPr>
        <w:ind w:right="-330"/>
        <w:jc w:val="both"/>
        <w:rPr>
          <w:sz w:val="24"/>
        </w:rPr>
      </w:pPr>
      <w:r w:rsidRPr="00E50549">
        <w:rPr>
          <w:sz w:val="24"/>
        </w:rPr>
        <w:t xml:space="preserve">Upravljanje određenim sadržajem na </w:t>
      </w:r>
      <w:r w:rsidR="00E65D8E">
        <w:rPr>
          <w:sz w:val="24"/>
        </w:rPr>
        <w:t xml:space="preserve">službenim </w:t>
      </w:r>
      <w:r w:rsidRPr="00E50549">
        <w:rPr>
          <w:sz w:val="24"/>
        </w:rPr>
        <w:t xml:space="preserve">internetskim stranicama </w:t>
      </w:r>
      <w:r w:rsidR="00E65D8E">
        <w:rPr>
          <w:sz w:val="24"/>
        </w:rPr>
        <w:t>TZP SP</w:t>
      </w:r>
    </w:p>
    <w:p w14:paraId="38F67C4D" w14:textId="0C523E14" w:rsidR="0064389A" w:rsidRPr="00E50549" w:rsidRDefault="0064389A" w:rsidP="006A0FCE">
      <w:pPr>
        <w:pStyle w:val="ListParagraph"/>
        <w:numPr>
          <w:ilvl w:val="0"/>
          <w:numId w:val="10"/>
        </w:numPr>
        <w:ind w:right="-330"/>
        <w:jc w:val="both"/>
        <w:rPr>
          <w:sz w:val="24"/>
        </w:rPr>
      </w:pPr>
      <w:r w:rsidRPr="00E50549">
        <w:rPr>
          <w:sz w:val="24"/>
        </w:rPr>
        <w:t xml:space="preserve">Razvoj </w:t>
      </w:r>
      <w:r w:rsidR="005730B0" w:rsidRPr="00E50549">
        <w:rPr>
          <w:sz w:val="24"/>
        </w:rPr>
        <w:t>i</w:t>
      </w:r>
      <w:r w:rsidRPr="00E50549">
        <w:rPr>
          <w:sz w:val="24"/>
        </w:rPr>
        <w:t xml:space="preserve"> održavanje internetskih stranica</w:t>
      </w:r>
      <w:r w:rsidR="00FD2BBB" w:rsidRPr="00E50549">
        <w:rPr>
          <w:sz w:val="24"/>
        </w:rPr>
        <w:t xml:space="preserve">, </w:t>
      </w:r>
      <w:r w:rsidR="006123A8" w:rsidRPr="00E50549">
        <w:rPr>
          <w:sz w:val="24"/>
        </w:rPr>
        <w:t>prijevod tekstova za internetske stranice</w:t>
      </w:r>
    </w:p>
    <w:p w14:paraId="18766903" w14:textId="4A243E5C" w:rsidR="00F53D07" w:rsidRPr="00E50549" w:rsidRDefault="00F53D07" w:rsidP="006A0FCE">
      <w:pPr>
        <w:ind w:left="360" w:right="-330"/>
        <w:jc w:val="both"/>
        <w:rPr>
          <w:sz w:val="24"/>
        </w:rPr>
      </w:pPr>
      <w:r w:rsidRPr="00E50549">
        <w:rPr>
          <w:sz w:val="24"/>
        </w:rPr>
        <w:t>Potrebna sredstva: 5.000,00 kuna</w:t>
      </w:r>
    </w:p>
    <w:p w14:paraId="6B7938FE" w14:textId="77777777" w:rsidR="00FD2BBB" w:rsidRPr="00E50549" w:rsidRDefault="00FD2BBB" w:rsidP="006A0FCE">
      <w:pPr>
        <w:ind w:left="360" w:right="-330"/>
        <w:jc w:val="both"/>
        <w:rPr>
          <w:sz w:val="24"/>
        </w:rPr>
      </w:pPr>
    </w:p>
    <w:p w14:paraId="2C797099" w14:textId="4280FEA6" w:rsidR="0064389A" w:rsidRPr="00E50549" w:rsidRDefault="0064389A" w:rsidP="006A0FCE">
      <w:pPr>
        <w:ind w:right="-330"/>
        <w:jc w:val="both"/>
        <w:rPr>
          <w:sz w:val="24"/>
        </w:rPr>
      </w:pPr>
      <w:r w:rsidRPr="00E50549">
        <w:rPr>
          <w:sz w:val="24"/>
        </w:rPr>
        <w:t xml:space="preserve">3.5. Kreiranje i upravljanje bazama turističkih podataka: </w:t>
      </w:r>
    </w:p>
    <w:p w14:paraId="69B60CCE" w14:textId="56967FFE" w:rsidR="0064389A" w:rsidRPr="00E50549" w:rsidRDefault="0064389A" w:rsidP="006A0FCE">
      <w:pPr>
        <w:pStyle w:val="ListParagraph"/>
        <w:numPr>
          <w:ilvl w:val="0"/>
          <w:numId w:val="11"/>
        </w:numPr>
        <w:ind w:right="-330"/>
        <w:jc w:val="both"/>
        <w:rPr>
          <w:sz w:val="24"/>
        </w:rPr>
      </w:pPr>
      <w:r w:rsidRPr="00E50549">
        <w:rPr>
          <w:sz w:val="24"/>
        </w:rPr>
        <w:t>Uspostavljanje detaljne turističke baze podataka o ponudi i potražnji</w:t>
      </w:r>
      <w:r w:rsidR="00743679" w:rsidRPr="00E50549">
        <w:rPr>
          <w:sz w:val="24"/>
        </w:rPr>
        <w:t xml:space="preserve"> </w:t>
      </w:r>
    </w:p>
    <w:p w14:paraId="7A0403D7" w14:textId="76781ADF" w:rsidR="0064389A" w:rsidRPr="00E50549" w:rsidRDefault="0064389A" w:rsidP="006A0FCE">
      <w:pPr>
        <w:pStyle w:val="ListParagraph"/>
        <w:numPr>
          <w:ilvl w:val="0"/>
          <w:numId w:val="11"/>
        </w:numPr>
        <w:ind w:right="-330"/>
        <w:jc w:val="both"/>
        <w:rPr>
          <w:sz w:val="24"/>
        </w:rPr>
      </w:pPr>
      <w:r w:rsidRPr="00E50549">
        <w:rPr>
          <w:sz w:val="24"/>
        </w:rPr>
        <w:t>Otkup sadržaja, fotografija i ostalih podataka</w:t>
      </w:r>
    </w:p>
    <w:p w14:paraId="78ABD472" w14:textId="2F2DC559" w:rsidR="0064389A" w:rsidRPr="00E50549" w:rsidRDefault="0064389A" w:rsidP="006A0FCE">
      <w:pPr>
        <w:pStyle w:val="ListParagraph"/>
        <w:numPr>
          <w:ilvl w:val="0"/>
          <w:numId w:val="11"/>
        </w:numPr>
        <w:ind w:right="-330"/>
        <w:jc w:val="both"/>
        <w:rPr>
          <w:sz w:val="24"/>
        </w:rPr>
      </w:pPr>
      <w:r w:rsidRPr="00E50549">
        <w:rPr>
          <w:sz w:val="24"/>
        </w:rPr>
        <w:t>Priprema, sortiranje i slanje podataka o turističkoj ponudi na području destinacije u regionalnu turističku zajednicu i Hrvatsku tur</w:t>
      </w:r>
      <w:r w:rsidR="008B1FD8" w:rsidRPr="00E50549">
        <w:rPr>
          <w:sz w:val="24"/>
        </w:rPr>
        <w:t>i</w:t>
      </w:r>
      <w:r w:rsidRPr="00E50549">
        <w:rPr>
          <w:sz w:val="24"/>
        </w:rPr>
        <w:t>stičku zajednicu</w:t>
      </w:r>
    </w:p>
    <w:p w14:paraId="09F8BC3B" w14:textId="0841BD86" w:rsidR="008B1FD8" w:rsidRPr="00E50549" w:rsidRDefault="00745642" w:rsidP="006A0FCE">
      <w:pPr>
        <w:ind w:left="360" w:right="-330"/>
        <w:jc w:val="both"/>
        <w:rPr>
          <w:sz w:val="24"/>
        </w:rPr>
      </w:pPr>
      <w:r w:rsidRPr="00E50549">
        <w:rPr>
          <w:sz w:val="24"/>
        </w:rPr>
        <w:t>Potrebna sredstva: 3</w:t>
      </w:r>
      <w:r w:rsidR="008B1FD8" w:rsidRPr="00E50549">
        <w:rPr>
          <w:sz w:val="24"/>
        </w:rPr>
        <w:t>.000,00 kuna</w:t>
      </w:r>
    </w:p>
    <w:p w14:paraId="515D0EF6" w14:textId="50B2FEC4" w:rsidR="00745642" w:rsidRPr="00E50549" w:rsidRDefault="00745642" w:rsidP="006A0FCE">
      <w:pPr>
        <w:ind w:right="-330"/>
        <w:jc w:val="both"/>
        <w:rPr>
          <w:sz w:val="24"/>
        </w:rPr>
      </w:pPr>
    </w:p>
    <w:p w14:paraId="7DE48A94" w14:textId="687BA738" w:rsidR="00745642" w:rsidRPr="00E50549" w:rsidRDefault="00745642" w:rsidP="006A0FCE">
      <w:pPr>
        <w:ind w:right="-330"/>
        <w:jc w:val="both"/>
        <w:rPr>
          <w:sz w:val="24"/>
        </w:rPr>
      </w:pPr>
      <w:r w:rsidRPr="00E50549">
        <w:rPr>
          <w:sz w:val="24"/>
        </w:rPr>
        <w:t>3.6. Marketinške i poslovne suradnje</w:t>
      </w:r>
    </w:p>
    <w:p w14:paraId="25092BD2" w14:textId="6D66FF1C" w:rsidR="00745642" w:rsidRPr="00E50549" w:rsidRDefault="00745642" w:rsidP="006A0FCE">
      <w:pPr>
        <w:pStyle w:val="ListParagraph"/>
        <w:numPr>
          <w:ilvl w:val="0"/>
          <w:numId w:val="25"/>
        </w:numPr>
        <w:ind w:right="-330"/>
        <w:rPr>
          <w:sz w:val="24"/>
        </w:rPr>
      </w:pPr>
      <w:r w:rsidRPr="00E50549">
        <w:rPr>
          <w:rFonts w:ascii="Calibri" w:hAnsi="Calibri" w:cs="Calibri"/>
          <w:sz w:val="24"/>
        </w:rPr>
        <w:t xml:space="preserve">Oglašavanja aktivnosti i turističkih proizvoda TZP SP – Udruženo oglašavanje, putem raznih komunikacijskih kanala: digitalno oglašavanje (službene web stranice, portali: </w:t>
      </w:r>
      <w:r w:rsidRPr="00E50549">
        <w:rPr>
          <w:rFonts w:ascii="Calibri" w:hAnsi="Calibri" w:cs="Calibri"/>
          <w:sz w:val="24"/>
        </w:rPr>
        <w:lastRenderedPageBreak/>
        <w:t>ePodravina, Drava info, Klikaj.hr i sl.), tiskovine (Glas Podravine, Podravski list, Večernji list, Jutarnji list), radio (Otvoreni radio, Radio Kaj, RKC, Radio Drava</w:t>
      </w:r>
      <w:r w:rsidR="007745B8">
        <w:rPr>
          <w:rFonts w:ascii="Calibri" w:hAnsi="Calibri" w:cs="Calibri"/>
          <w:sz w:val="24"/>
        </w:rPr>
        <w:t>, Podravski radio</w:t>
      </w:r>
      <w:r w:rsidRPr="00E50549">
        <w:rPr>
          <w:rFonts w:ascii="Calibri" w:hAnsi="Calibri" w:cs="Calibri"/>
          <w:sz w:val="24"/>
        </w:rPr>
        <w:t xml:space="preserve"> i sl.) na lokalnoj, regionalnoj i nacionalnoj razini;  jumbo table u HR (Hrvatske šume)</w:t>
      </w:r>
    </w:p>
    <w:p w14:paraId="7CD2BAD2" w14:textId="6D1DB03F" w:rsidR="00745642" w:rsidRPr="00E50549" w:rsidRDefault="00745642" w:rsidP="006A0FCE">
      <w:pPr>
        <w:pStyle w:val="ListParagraph"/>
        <w:numPr>
          <w:ilvl w:val="0"/>
          <w:numId w:val="25"/>
        </w:numPr>
        <w:ind w:right="-330"/>
        <w:rPr>
          <w:sz w:val="24"/>
        </w:rPr>
      </w:pPr>
      <w:r w:rsidRPr="00E50549">
        <w:rPr>
          <w:rFonts w:ascii="Calibri" w:hAnsi="Calibri" w:cs="Calibri"/>
          <w:sz w:val="24"/>
        </w:rPr>
        <w:t>Cilj oglašavanja je pravovremeno i kvalitetno informirati ciljana tržišta o turističkim aktivnostima i proizvodima u destinaciji središnja Podravina.</w:t>
      </w:r>
    </w:p>
    <w:p w14:paraId="5BB7AF02" w14:textId="623CDFD4" w:rsidR="00745642" w:rsidRPr="00E50549" w:rsidRDefault="00F63891" w:rsidP="006A0FCE">
      <w:pPr>
        <w:ind w:left="360" w:right="-330"/>
        <w:jc w:val="both"/>
        <w:rPr>
          <w:sz w:val="24"/>
        </w:rPr>
      </w:pPr>
      <w:r>
        <w:rPr>
          <w:sz w:val="24"/>
        </w:rPr>
        <w:t>Potrebna sredstva: 7</w:t>
      </w:r>
      <w:r w:rsidR="00745642" w:rsidRPr="00E50549">
        <w:rPr>
          <w:sz w:val="24"/>
        </w:rPr>
        <w:t>0.000,00 kuna</w:t>
      </w:r>
    </w:p>
    <w:p w14:paraId="5C7C3A91" w14:textId="77777777" w:rsidR="00BE64D3" w:rsidRPr="00E50549" w:rsidRDefault="00BE64D3" w:rsidP="006A0FCE">
      <w:pPr>
        <w:ind w:left="360" w:right="-330"/>
        <w:jc w:val="both"/>
        <w:rPr>
          <w:sz w:val="24"/>
        </w:rPr>
      </w:pPr>
    </w:p>
    <w:p w14:paraId="6FCB31EE" w14:textId="66ACFA58" w:rsidR="004B054B" w:rsidRPr="00E50549" w:rsidRDefault="004B054B" w:rsidP="006A0FCE">
      <w:pPr>
        <w:ind w:right="-330"/>
        <w:jc w:val="both"/>
        <w:rPr>
          <w:b/>
          <w:sz w:val="28"/>
        </w:rPr>
      </w:pPr>
      <w:r w:rsidRPr="00E50549">
        <w:rPr>
          <w:b/>
          <w:sz w:val="28"/>
        </w:rPr>
        <w:t>4. DESTINACIJSKI MENADŽMENT</w:t>
      </w:r>
    </w:p>
    <w:p w14:paraId="150CF5E3" w14:textId="7596D123" w:rsidR="004B054B" w:rsidRPr="00E50549" w:rsidRDefault="004B054B" w:rsidP="006A0FCE">
      <w:pPr>
        <w:ind w:right="-330"/>
        <w:jc w:val="both"/>
        <w:rPr>
          <w:sz w:val="24"/>
        </w:rPr>
      </w:pPr>
      <w:r w:rsidRPr="00E50549">
        <w:rPr>
          <w:sz w:val="24"/>
        </w:rPr>
        <w:t>4.1. Turistički informacijski sustavi i aplikacije /eVisitor</w:t>
      </w:r>
    </w:p>
    <w:p w14:paraId="35E23549" w14:textId="05CAB07A" w:rsidR="004B054B" w:rsidRPr="00E50549" w:rsidRDefault="004B054B" w:rsidP="006A0FCE">
      <w:pPr>
        <w:pStyle w:val="ListParagraph"/>
        <w:numPr>
          <w:ilvl w:val="0"/>
          <w:numId w:val="13"/>
        </w:numPr>
        <w:ind w:right="-330"/>
        <w:jc w:val="both"/>
        <w:rPr>
          <w:sz w:val="24"/>
        </w:rPr>
      </w:pPr>
      <w:r w:rsidRPr="00E50549">
        <w:rPr>
          <w:sz w:val="24"/>
        </w:rPr>
        <w:t xml:space="preserve">Sudjelovanje u razvoju i upravljanju sustavom eVisitor i ostalim turističkim informacijskim sustavima sukladno uputama </w:t>
      </w:r>
      <w:r w:rsidR="0037671B" w:rsidRPr="00E50549">
        <w:rPr>
          <w:sz w:val="24"/>
        </w:rPr>
        <w:t xml:space="preserve"> </w:t>
      </w:r>
      <w:r w:rsidR="00BE64D3" w:rsidRPr="00E50549">
        <w:rPr>
          <w:sz w:val="24"/>
        </w:rPr>
        <w:t>Hrvatske tur</w:t>
      </w:r>
      <w:r w:rsidRPr="00E50549">
        <w:rPr>
          <w:sz w:val="24"/>
        </w:rPr>
        <w:t>i</w:t>
      </w:r>
      <w:r w:rsidR="00BE64D3" w:rsidRPr="00E50549">
        <w:rPr>
          <w:sz w:val="24"/>
        </w:rPr>
        <w:t>s</w:t>
      </w:r>
      <w:r w:rsidRPr="00E50549">
        <w:rPr>
          <w:sz w:val="24"/>
        </w:rPr>
        <w:t>tičke zajednice kao što su: jedinstveni turistički informacijski portal te evidencija svih oblika turističke ponude/atrakcija na po</w:t>
      </w:r>
      <w:r w:rsidR="00BE64D3" w:rsidRPr="00E50549">
        <w:rPr>
          <w:sz w:val="24"/>
        </w:rPr>
        <w:t>d</w:t>
      </w:r>
      <w:r w:rsidRPr="00E50549">
        <w:rPr>
          <w:sz w:val="24"/>
        </w:rPr>
        <w:t>ručju regije</w:t>
      </w:r>
    </w:p>
    <w:p w14:paraId="4CE7912C" w14:textId="167F7525" w:rsidR="004B054B" w:rsidRPr="00E50549" w:rsidRDefault="00BE64D3" w:rsidP="006A0FCE">
      <w:pPr>
        <w:pStyle w:val="ListParagraph"/>
        <w:numPr>
          <w:ilvl w:val="0"/>
          <w:numId w:val="13"/>
        </w:numPr>
        <w:ind w:right="-330"/>
        <w:jc w:val="both"/>
        <w:rPr>
          <w:sz w:val="24"/>
        </w:rPr>
      </w:pPr>
      <w:r w:rsidRPr="00E50549">
        <w:rPr>
          <w:sz w:val="24"/>
        </w:rPr>
        <w:t>Održavanje</w:t>
      </w:r>
      <w:r w:rsidR="004B054B" w:rsidRPr="00E50549">
        <w:rPr>
          <w:sz w:val="24"/>
        </w:rPr>
        <w:t xml:space="preserve"> sustava poslovne inteligencije temeljene na informatičkim tehnologijama (</w:t>
      </w:r>
      <w:r w:rsidR="00675B92" w:rsidRPr="00E50549">
        <w:rPr>
          <w:sz w:val="24"/>
        </w:rPr>
        <w:t>Orioly digitalna platforma</w:t>
      </w:r>
      <w:r w:rsidR="004B054B" w:rsidRPr="00E50549">
        <w:rPr>
          <w:sz w:val="24"/>
        </w:rPr>
        <w:t>)</w:t>
      </w:r>
    </w:p>
    <w:p w14:paraId="0576A15D" w14:textId="3A283BFC" w:rsidR="00675B92" w:rsidRPr="00E50549" w:rsidRDefault="009D241A" w:rsidP="006A0FCE">
      <w:pPr>
        <w:ind w:left="360" w:right="-330"/>
        <w:jc w:val="both"/>
        <w:rPr>
          <w:sz w:val="24"/>
        </w:rPr>
      </w:pPr>
      <w:r w:rsidRPr="00E50549">
        <w:rPr>
          <w:sz w:val="24"/>
        </w:rPr>
        <w:t>Potrebna sredstva: 7</w:t>
      </w:r>
      <w:r w:rsidR="00675B92" w:rsidRPr="00E50549">
        <w:rPr>
          <w:sz w:val="24"/>
        </w:rPr>
        <w:t>.000,00 kuna</w:t>
      </w:r>
    </w:p>
    <w:p w14:paraId="349210BC" w14:textId="77777777" w:rsidR="009D241A" w:rsidRPr="00E50549" w:rsidRDefault="009D241A" w:rsidP="006A0FCE">
      <w:pPr>
        <w:ind w:left="360" w:right="-330"/>
        <w:jc w:val="both"/>
        <w:rPr>
          <w:sz w:val="24"/>
        </w:rPr>
      </w:pPr>
    </w:p>
    <w:p w14:paraId="6A5EC530" w14:textId="6D3292D8" w:rsidR="004B054B" w:rsidRPr="00E50549" w:rsidRDefault="004B054B" w:rsidP="006A0FCE">
      <w:pPr>
        <w:ind w:right="-330"/>
        <w:jc w:val="both"/>
        <w:rPr>
          <w:sz w:val="24"/>
        </w:rPr>
      </w:pPr>
      <w:r w:rsidRPr="00E50549">
        <w:rPr>
          <w:sz w:val="24"/>
        </w:rPr>
        <w:t xml:space="preserve">4.2. </w:t>
      </w:r>
      <w:r w:rsidR="004A27D6" w:rsidRPr="00E50549">
        <w:rPr>
          <w:sz w:val="24"/>
        </w:rPr>
        <w:t>Upravljanje kvalitetom u destinaciji:</w:t>
      </w:r>
    </w:p>
    <w:p w14:paraId="48385D35" w14:textId="436430E5" w:rsidR="004A27D6" w:rsidRPr="00E50549" w:rsidRDefault="004A27D6" w:rsidP="006A0FCE">
      <w:pPr>
        <w:pStyle w:val="ListParagraph"/>
        <w:numPr>
          <w:ilvl w:val="0"/>
          <w:numId w:val="14"/>
        </w:numPr>
        <w:ind w:right="-330"/>
        <w:jc w:val="both"/>
        <w:rPr>
          <w:sz w:val="24"/>
        </w:rPr>
      </w:pPr>
      <w:r w:rsidRPr="00E50549">
        <w:rPr>
          <w:sz w:val="24"/>
        </w:rPr>
        <w:t>Sustav nagrađivanja, priznanje postignućima u turizmu u svrhu razvoja izvrsnosti na svim razinama turističke ponude u destinaciji samostalno i u suradnji s regionalnom turističkom zajednicom i HTZ-om</w:t>
      </w:r>
    </w:p>
    <w:p w14:paraId="0507D79E" w14:textId="5336CC5A" w:rsidR="004A27D6" w:rsidRPr="00E50549" w:rsidRDefault="004A27D6" w:rsidP="006A0FCE">
      <w:pPr>
        <w:pStyle w:val="ListParagraph"/>
        <w:numPr>
          <w:ilvl w:val="0"/>
          <w:numId w:val="14"/>
        </w:numPr>
        <w:ind w:right="-330"/>
        <w:jc w:val="both"/>
        <w:rPr>
          <w:sz w:val="24"/>
        </w:rPr>
      </w:pPr>
      <w:r w:rsidRPr="00E50549">
        <w:rPr>
          <w:sz w:val="24"/>
        </w:rPr>
        <w:t xml:space="preserve">Suradnja s predstavnicima turističke ponude po proizvodima radi podizanja kvalitete ponude u destinaciji </w:t>
      </w:r>
    </w:p>
    <w:p w14:paraId="784A6EDC" w14:textId="7E6A460F" w:rsidR="00905277" w:rsidRPr="00E50549" w:rsidRDefault="00905277" w:rsidP="006A0FCE">
      <w:pPr>
        <w:ind w:left="360" w:right="-330"/>
        <w:jc w:val="both"/>
        <w:rPr>
          <w:sz w:val="24"/>
        </w:rPr>
      </w:pPr>
      <w:r w:rsidRPr="00E50549">
        <w:rPr>
          <w:sz w:val="24"/>
        </w:rPr>
        <w:t>Potrebna sredstva: 0,00 kuna</w:t>
      </w:r>
    </w:p>
    <w:p w14:paraId="3B625D18" w14:textId="42087B33" w:rsidR="004A27D6" w:rsidRPr="00E50549" w:rsidRDefault="004A27D6" w:rsidP="006A0FCE">
      <w:pPr>
        <w:ind w:right="-330"/>
        <w:jc w:val="both"/>
        <w:rPr>
          <w:sz w:val="24"/>
        </w:rPr>
      </w:pPr>
      <w:r w:rsidRPr="00E50549">
        <w:rPr>
          <w:sz w:val="24"/>
        </w:rPr>
        <w:t xml:space="preserve">4.3. Poticanje na uređenje destinacije: </w:t>
      </w:r>
    </w:p>
    <w:p w14:paraId="5A6B32AF" w14:textId="2FECCA68" w:rsidR="004A27D6" w:rsidRPr="00E50549" w:rsidRDefault="004A27D6" w:rsidP="006A0FCE">
      <w:pPr>
        <w:pStyle w:val="ListParagraph"/>
        <w:numPr>
          <w:ilvl w:val="0"/>
          <w:numId w:val="15"/>
        </w:numPr>
        <w:ind w:right="-330"/>
        <w:jc w:val="both"/>
        <w:rPr>
          <w:sz w:val="24"/>
        </w:rPr>
      </w:pPr>
      <w:r w:rsidRPr="00E50549">
        <w:rPr>
          <w:sz w:val="24"/>
        </w:rPr>
        <w:t>Poboljšanje općih uvjeta boravka turista</w:t>
      </w:r>
    </w:p>
    <w:p w14:paraId="5A47E93E" w14:textId="5AAAF1A9" w:rsidR="00BE64D3" w:rsidRPr="00E50549" w:rsidRDefault="00BE64D3" w:rsidP="006A0FCE">
      <w:pPr>
        <w:pStyle w:val="ListParagraph"/>
        <w:numPr>
          <w:ilvl w:val="0"/>
          <w:numId w:val="15"/>
        </w:numPr>
        <w:ind w:right="-330"/>
        <w:jc w:val="both"/>
        <w:rPr>
          <w:sz w:val="24"/>
        </w:rPr>
      </w:pPr>
      <w:r w:rsidRPr="00E50549">
        <w:rPr>
          <w:rFonts w:ascii="Calibri" w:hAnsi="Calibri" w:cs="Calibri"/>
          <w:sz w:val="24"/>
        </w:rPr>
        <w:t>Sudjelovanje u aktivnostima uređenja mjesta u suradnji sa lokalnim komunalnim poduzećima u smislu davanja smjernica o uređenju zelenih površina, šetnica i sl. na području Općina središnje Podravine</w:t>
      </w:r>
    </w:p>
    <w:p w14:paraId="09040A33" w14:textId="306CD584" w:rsidR="00905277" w:rsidRPr="00E50549" w:rsidRDefault="004A27D6" w:rsidP="006A0FCE">
      <w:pPr>
        <w:pStyle w:val="ListParagraph"/>
        <w:numPr>
          <w:ilvl w:val="0"/>
          <w:numId w:val="15"/>
        </w:numPr>
        <w:ind w:right="-330"/>
        <w:jc w:val="both"/>
        <w:rPr>
          <w:sz w:val="24"/>
        </w:rPr>
      </w:pPr>
      <w:r w:rsidRPr="00E50549">
        <w:rPr>
          <w:sz w:val="24"/>
        </w:rPr>
        <w:t>Suradnja sa subjektima javnog i privatnog sektora u destinaciji radi podizanja kvalitete turističkog iskustva, funkcioniranja, dostupnosti i kvalitete javnih usluga, servisa i komunalnih službi na području turističke destinacije</w:t>
      </w:r>
    </w:p>
    <w:p w14:paraId="13521CB6" w14:textId="64EDA5E9" w:rsidR="00675B92" w:rsidRPr="00E50549" w:rsidRDefault="00BE64D3" w:rsidP="006A0FCE">
      <w:pPr>
        <w:ind w:left="360" w:right="-330"/>
        <w:jc w:val="both"/>
        <w:rPr>
          <w:sz w:val="24"/>
        </w:rPr>
      </w:pPr>
      <w:r w:rsidRPr="00E50549">
        <w:rPr>
          <w:sz w:val="24"/>
        </w:rPr>
        <w:t>Potrebna sredstva: 0</w:t>
      </w:r>
      <w:r w:rsidR="00675B92" w:rsidRPr="00E50549">
        <w:rPr>
          <w:sz w:val="24"/>
        </w:rPr>
        <w:t>,00 kuna</w:t>
      </w:r>
    </w:p>
    <w:p w14:paraId="0C02D70E" w14:textId="7DD775D5" w:rsidR="00BE64D3" w:rsidRDefault="00BE64D3" w:rsidP="006A0FCE">
      <w:pPr>
        <w:ind w:left="360" w:right="-330"/>
        <w:jc w:val="both"/>
        <w:rPr>
          <w:sz w:val="24"/>
        </w:rPr>
      </w:pPr>
    </w:p>
    <w:p w14:paraId="4DD05C06" w14:textId="77777777" w:rsidR="00190090" w:rsidRPr="00E50549" w:rsidRDefault="00190090" w:rsidP="006A0FCE">
      <w:pPr>
        <w:ind w:left="360" w:right="-330"/>
        <w:jc w:val="both"/>
        <w:rPr>
          <w:sz w:val="24"/>
        </w:rPr>
      </w:pPr>
    </w:p>
    <w:p w14:paraId="6F5F0BCC" w14:textId="5D9B88D2" w:rsidR="004A27D6" w:rsidRPr="00E50549" w:rsidRDefault="004A27D6" w:rsidP="006A0FCE">
      <w:pPr>
        <w:ind w:right="-330"/>
        <w:jc w:val="both"/>
        <w:rPr>
          <w:b/>
          <w:sz w:val="28"/>
        </w:rPr>
      </w:pPr>
      <w:r w:rsidRPr="00E50549">
        <w:rPr>
          <w:b/>
          <w:sz w:val="28"/>
        </w:rPr>
        <w:lastRenderedPageBreak/>
        <w:t>5. ČLANSTVO U STRUKOVNIM ORGANIZACIJAMA</w:t>
      </w:r>
    </w:p>
    <w:p w14:paraId="66E06297" w14:textId="7DCBFAF0" w:rsidR="004A27D6" w:rsidRPr="00E50549" w:rsidRDefault="004A27D6" w:rsidP="006A0FCE">
      <w:pPr>
        <w:ind w:right="-330"/>
        <w:jc w:val="both"/>
        <w:rPr>
          <w:sz w:val="24"/>
        </w:rPr>
      </w:pPr>
      <w:r w:rsidRPr="00E50549">
        <w:rPr>
          <w:sz w:val="24"/>
        </w:rPr>
        <w:t>5.1.</w:t>
      </w:r>
      <w:r w:rsidR="00743679" w:rsidRPr="00E50549">
        <w:rPr>
          <w:sz w:val="24"/>
        </w:rPr>
        <w:t xml:space="preserve"> </w:t>
      </w:r>
      <w:r w:rsidRPr="00E50549">
        <w:rPr>
          <w:sz w:val="24"/>
        </w:rPr>
        <w:t xml:space="preserve">Domaće strukovne i slične organizacije: </w:t>
      </w:r>
      <w:r w:rsidR="00743679" w:rsidRPr="00E50549">
        <w:rPr>
          <w:sz w:val="24"/>
        </w:rPr>
        <w:t>članstvo u LAG Podravina</w:t>
      </w:r>
    </w:p>
    <w:p w14:paraId="1566B4B6" w14:textId="6400EDC7" w:rsidR="008B1FD8" w:rsidRPr="00E50549" w:rsidRDefault="008B1FD8" w:rsidP="006A0FCE">
      <w:pPr>
        <w:ind w:right="-330"/>
        <w:jc w:val="both"/>
        <w:rPr>
          <w:sz w:val="24"/>
        </w:rPr>
      </w:pPr>
      <w:r w:rsidRPr="00E50549">
        <w:rPr>
          <w:sz w:val="24"/>
        </w:rPr>
        <w:t xml:space="preserve">Potrebna sredstva: </w:t>
      </w:r>
      <w:r w:rsidR="008D60CE" w:rsidRPr="00E50549">
        <w:rPr>
          <w:sz w:val="24"/>
        </w:rPr>
        <w:t xml:space="preserve">100,00 kuna </w:t>
      </w:r>
    </w:p>
    <w:p w14:paraId="12AEE641" w14:textId="77777777" w:rsidR="00BE64D3" w:rsidRPr="00E50549" w:rsidRDefault="00BE64D3" w:rsidP="006A0FCE">
      <w:pPr>
        <w:ind w:right="-330"/>
        <w:jc w:val="both"/>
        <w:rPr>
          <w:sz w:val="24"/>
        </w:rPr>
      </w:pPr>
    </w:p>
    <w:p w14:paraId="16C14C84" w14:textId="5605B63C" w:rsidR="004A27D6" w:rsidRPr="00E50549" w:rsidRDefault="004A27D6" w:rsidP="006A0FCE">
      <w:pPr>
        <w:ind w:right="-330"/>
        <w:jc w:val="both"/>
        <w:rPr>
          <w:b/>
          <w:sz w:val="28"/>
        </w:rPr>
      </w:pPr>
      <w:r w:rsidRPr="00E50549">
        <w:rPr>
          <w:b/>
          <w:sz w:val="28"/>
        </w:rPr>
        <w:t>6. ADMINISTRATIVNI RASHODI</w:t>
      </w:r>
    </w:p>
    <w:p w14:paraId="52B8410E" w14:textId="5D2E954C" w:rsidR="004A27D6" w:rsidRPr="00E50549" w:rsidRDefault="004A27D6" w:rsidP="006A0FCE">
      <w:pPr>
        <w:ind w:right="-330"/>
        <w:jc w:val="both"/>
        <w:rPr>
          <w:sz w:val="24"/>
        </w:rPr>
      </w:pPr>
      <w:r w:rsidRPr="00E50549">
        <w:rPr>
          <w:sz w:val="24"/>
        </w:rPr>
        <w:t>6.1. Plaće:</w:t>
      </w:r>
    </w:p>
    <w:p w14:paraId="5F225981" w14:textId="4EFF24D8" w:rsidR="004A27D6" w:rsidRPr="00E50549" w:rsidRDefault="000A7257" w:rsidP="006A0FCE">
      <w:pPr>
        <w:pStyle w:val="ListParagraph"/>
        <w:numPr>
          <w:ilvl w:val="0"/>
          <w:numId w:val="16"/>
        </w:numPr>
        <w:ind w:right="-330"/>
        <w:jc w:val="both"/>
        <w:rPr>
          <w:sz w:val="24"/>
        </w:rPr>
      </w:pPr>
      <w:r w:rsidRPr="00E50549">
        <w:rPr>
          <w:sz w:val="24"/>
        </w:rPr>
        <w:t>Bruto p</w:t>
      </w:r>
      <w:r w:rsidR="004A27D6" w:rsidRPr="00E50549">
        <w:rPr>
          <w:sz w:val="24"/>
        </w:rPr>
        <w:t xml:space="preserve">laće zaposlenika turističke zajednice </w:t>
      </w:r>
    </w:p>
    <w:p w14:paraId="02C85BEF" w14:textId="08CF26F7" w:rsidR="008D60CE" w:rsidRPr="00E50549" w:rsidRDefault="008D60CE" w:rsidP="006A0FCE">
      <w:pPr>
        <w:ind w:left="360" w:right="-330"/>
        <w:jc w:val="both"/>
        <w:rPr>
          <w:sz w:val="24"/>
        </w:rPr>
      </w:pPr>
      <w:r w:rsidRPr="00E50549">
        <w:rPr>
          <w:sz w:val="24"/>
        </w:rPr>
        <w:t xml:space="preserve">Potrebna sredstva: </w:t>
      </w:r>
      <w:r w:rsidR="009D241A" w:rsidRPr="00E50549">
        <w:rPr>
          <w:sz w:val="24"/>
        </w:rPr>
        <w:t>97.5</w:t>
      </w:r>
      <w:r w:rsidR="000A7257" w:rsidRPr="00E50549">
        <w:rPr>
          <w:sz w:val="24"/>
        </w:rPr>
        <w:t>00,00 kuna</w:t>
      </w:r>
    </w:p>
    <w:p w14:paraId="2C88423E" w14:textId="581BEE88" w:rsidR="00BE64D3" w:rsidRPr="00E50549" w:rsidRDefault="004A27D6" w:rsidP="006A0FCE">
      <w:pPr>
        <w:ind w:right="-330"/>
        <w:jc w:val="both"/>
        <w:rPr>
          <w:sz w:val="24"/>
        </w:rPr>
      </w:pPr>
      <w:r w:rsidRPr="00E50549">
        <w:rPr>
          <w:sz w:val="24"/>
        </w:rPr>
        <w:t xml:space="preserve">6.2. </w:t>
      </w:r>
      <w:r w:rsidR="00BE64D3" w:rsidRPr="00E50549">
        <w:rPr>
          <w:sz w:val="24"/>
        </w:rPr>
        <w:t>Neoporezivi primici:</w:t>
      </w:r>
    </w:p>
    <w:p w14:paraId="5DFB7942" w14:textId="2A822710" w:rsidR="00BE64D3" w:rsidRPr="00E50549" w:rsidRDefault="00BE64D3" w:rsidP="006A0FCE">
      <w:pPr>
        <w:pStyle w:val="ListParagraph"/>
        <w:numPr>
          <w:ilvl w:val="0"/>
          <w:numId w:val="24"/>
        </w:numPr>
        <w:ind w:right="-330"/>
        <w:jc w:val="both"/>
        <w:rPr>
          <w:sz w:val="24"/>
        </w:rPr>
      </w:pPr>
      <w:r w:rsidRPr="00E50549">
        <w:rPr>
          <w:rFonts w:ascii="Calibri" w:hAnsi="Calibri" w:cs="Calibri"/>
          <w:sz w:val="24"/>
          <w:szCs w:val="24"/>
        </w:rPr>
        <w:t>Prijevoz, regres, božićnica, topli obrok</w:t>
      </w:r>
    </w:p>
    <w:p w14:paraId="54C6CA43" w14:textId="2119487E" w:rsidR="009B6FC8" w:rsidRPr="00E50549" w:rsidRDefault="00BE64D3" w:rsidP="006A0FCE">
      <w:pPr>
        <w:ind w:left="360" w:right="-330"/>
        <w:jc w:val="both"/>
        <w:rPr>
          <w:sz w:val="24"/>
        </w:rPr>
      </w:pPr>
      <w:r w:rsidRPr="00E50549">
        <w:rPr>
          <w:sz w:val="24"/>
        </w:rPr>
        <w:t>Potrebna sredstva: 18.000,00 kuna</w:t>
      </w:r>
    </w:p>
    <w:p w14:paraId="623F3B33" w14:textId="61FECBC9" w:rsidR="009B6FC8" w:rsidRPr="00E50549" w:rsidRDefault="009B6FC8" w:rsidP="006A0FCE">
      <w:pPr>
        <w:ind w:right="-330"/>
        <w:jc w:val="both"/>
        <w:rPr>
          <w:sz w:val="24"/>
        </w:rPr>
      </w:pPr>
      <w:r w:rsidRPr="00E50549">
        <w:rPr>
          <w:sz w:val="24"/>
        </w:rPr>
        <w:t>6.3. Dnevnice</w:t>
      </w:r>
    </w:p>
    <w:p w14:paraId="244A5B06" w14:textId="182F618F" w:rsidR="009B6FC8" w:rsidRPr="00E50549" w:rsidRDefault="009B6FC8" w:rsidP="006A0FCE">
      <w:pPr>
        <w:pStyle w:val="ListParagraph"/>
        <w:numPr>
          <w:ilvl w:val="0"/>
          <w:numId w:val="24"/>
        </w:numPr>
        <w:ind w:right="-330"/>
        <w:jc w:val="both"/>
        <w:rPr>
          <w:sz w:val="24"/>
        </w:rPr>
      </w:pPr>
      <w:r w:rsidRPr="00E50549">
        <w:rPr>
          <w:rFonts w:ascii="Calibri" w:hAnsi="Calibri" w:cs="Calibri"/>
          <w:sz w:val="24"/>
          <w:szCs w:val="24"/>
        </w:rPr>
        <w:t>Dnevnica za putovanja zaposlenika TZP SP u sklopu Programa rada 2022.</w:t>
      </w:r>
    </w:p>
    <w:p w14:paraId="3EBB8B6A" w14:textId="65B3FA17" w:rsidR="009B6FC8" w:rsidRPr="00E50549" w:rsidRDefault="009B6FC8" w:rsidP="006A0FCE">
      <w:pPr>
        <w:ind w:left="360" w:right="-330"/>
        <w:jc w:val="both"/>
        <w:rPr>
          <w:sz w:val="24"/>
        </w:rPr>
      </w:pPr>
      <w:r w:rsidRPr="00E50549">
        <w:rPr>
          <w:sz w:val="24"/>
        </w:rPr>
        <w:t>Potrebna sredstva: 10.000,00 kuna</w:t>
      </w:r>
    </w:p>
    <w:p w14:paraId="088B83F3" w14:textId="6541F783" w:rsidR="004A27D6" w:rsidRPr="00E50549" w:rsidRDefault="00BE64D3" w:rsidP="006A0FCE">
      <w:pPr>
        <w:ind w:right="-330"/>
        <w:jc w:val="both"/>
        <w:rPr>
          <w:sz w:val="24"/>
        </w:rPr>
      </w:pPr>
      <w:r w:rsidRPr="00E50549">
        <w:rPr>
          <w:sz w:val="24"/>
        </w:rPr>
        <w:t>6</w:t>
      </w:r>
      <w:r w:rsidR="009B6FC8" w:rsidRPr="00E50549">
        <w:rPr>
          <w:sz w:val="24"/>
        </w:rPr>
        <w:t>.4</w:t>
      </w:r>
      <w:r w:rsidRPr="00E50549">
        <w:rPr>
          <w:sz w:val="24"/>
        </w:rPr>
        <w:t xml:space="preserve">. </w:t>
      </w:r>
      <w:r w:rsidR="004A27D6" w:rsidRPr="00E50549">
        <w:rPr>
          <w:sz w:val="24"/>
        </w:rPr>
        <w:t>Materijalni troškovi</w:t>
      </w:r>
    </w:p>
    <w:p w14:paraId="6F508425" w14:textId="7B4FC5F5" w:rsidR="00BE64D3" w:rsidRPr="00E50549" w:rsidRDefault="00BE64D3" w:rsidP="006A0FCE">
      <w:pPr>
        <w:pStyle w:val="TableParagraph"/>
        <w:numPr>
          <w:ilvl w:val="0"/>
          <w:numId w:val="24"/>
        </w:numPr>
        <w:ind w:right="-330"/>
        <w:rPr>
          <w:rFonts w:ascii="Calibri" w:hAnsi="Calibri" w:cs="Calibri"/>
          <w:sz w:val="24"/>
          <w:szCs w:val="24"/>
        </w:rPr>
      </w:pPr>
      <w:r w:rsidRPr="00E50549">
        <w:rPr>
          <w:rFonts w:ascii="Calibri" w:hAnsi="Calibri" w:cs="Calibri"/>
          <w:sz w:val="24"/>
          <w:szCs w:val="24"/>
        </w:rPr>
        <w:t>Troškovi se odnose na režijske troškove, komunalne usluge, sitni inventar, uredska oprema i materijal, troškove platnog prometa, troškovi poštarine, usluge održavanja prostora, usluge knjigovodstva, usluge raznih servisa, usluge reprezentacije,</w:t>
      </w:r>
      <w:r w:rsidR="00D40974" w:rsidRPr="00E50549">
        <w:rPr>
          <w:rFonts w:ascii="Calibri" w:hAnsi="Calibri" w:cs="Calibri"/>
          <w:sz w:val="24"/>
          <w:szCs w:val="24"/>
        </w:rPr>
        <w:t xml:space="preserve"> </w:t>
      </w:r>
      <w:r w:rsidRPr="00E50549">
        <w:rPr>
          <w:rFonts w:ascii="Calibri" w:hAnsi="Calibri" w:cs="Calibri"/>
          <w:sz w:val="24"/>
          <w:szCs w:val="24"/>
        </w:rPr>
        <w:t>trošak fiksnog telefona, mobitela i interneta</w:t>
      </w:r>
      <w:r w:rsidR="00D40974" w:rsidRPr="00E50549">
        <w:rPr>
          <w:rFonts w:ascii="Calibri" w:hAnsi="Calibri" w:cs="Calibri"/>
          <w:sz w:val="24"/>
          <w:szCs w:val="24"/>
        </w:rPr>
        <w:t>, nabava vozila</w:t>
      </w:r>
      <w:r w:rsidR="00C65A72">
        <w:rPr>
          <w:rFonts w:ascii="Calibri" w:hAnsi="Calibri" w:cs="Calibri"/>
          <w:sz w:val="24"/>
          <w:szCs w:val="24"/>
        </w:rPr>
        <w:t xml:space="preserve"> (leasing)</w:t>
      </w:r>
    </w:p>
    <w:p w14:paraId="472FEC1F" w14:textId="77777777" w:rsidR="00BE64D3" w:rsidRPr="00E50549" w:rsidRDefault="00BE64D3" w:rsidP="006A0FCE">
      <w:pPr>
        <w:pStyle w:val="TableParagraph"/>
        <w:ind w:left="720" w:right="-330"/>
        <w:rPr>
          <w:rFonts w:ascii="Calibri" w:hAnsi="Calibri" w:cs="Calibri"/>
          <w:sz w:val="24"/>
          <w:szCs w:val="24"/>
        </w:rPr>
      </w:pPr>
    </w:p>
    <w:p w14:paraId="0CE79707" w14:textId="747273BB" w:rsidR="000A7257" w:rsidRPr="00E50549" w:rsidRDefault="000A7257" w:rsidP="006A0FCE">
      <w:pPr>
        <w:ind w:right="-330"/>
        <w:jc w:val="both"/>
        <w:rPr>
          <w:sz w:val="24"/>
        </w:rPr>
      </w:pPr>
      <w:r w:rsidRPr="00E50549">
        <w:rPr>
          <w:sz w:val="24"/>
        </w:rPr>
        <w:t xml:space="preserve">      Potrebna sredstva: </w:t>
      </w:r>
      <w:r w:rsidR="00C65A72">
        <w:rPr>
          <w:sz w:val="24"/>
        </w:rPr>
        <w:t>196</w:t>
      </w:r>
      <w:r w:rsidR="00FC1EDB" w:rsidRPr="00E50549">
        <w:rPr>
          <w:sz w:val="24"/>
        </w:rPr>
        <w:t>.</w:t>
      </w:r>
      <w:r w:rsidR="00C65A72">
        <w:rPr>
          <w:sz w:val="24"/>
        </w:rPr>
        <w:t>4</w:t>
      </w:r>
      <w:r w:rsidR="00FC1EDB" w:rsidRPr="00E50549">
        <w:rPr>
          <w:sz w:val="24"/>
        </w:rPr>
        <w:t>00,00 kuna</w:t>
      </w:r>
    </w:p>
    <w:p w14:paraId="7BD3DA57" w14:textId="41C51D25" w:rsidR="009B6FC8" w:rsidRPr="00E50549" w:rsidRDefault="00D8565C" w:rsidP="006A0FCE">
      <w:pPr>
        <w:ind w:right="-330"/>
        <w:jc w:val="both"/>
        <w:rPr>
          <w:sz w:val="24"/>
        </w:rPr>
      </w:pPr>
      <w:r w:rsidRPr="00E50549">
        <w:rPr>
          <w:sz w:val="24"/>
        </w:rPr>
        <w:t xml:space="preserve"> </w:t>
      </w:r>
      <w:r w:rsidR="009B6FC8" w:rsidRPr="00E50549">
        <w:rPr>
          <w:sz w:val="24"/>
        </w:rPr>
        <w:t>6.5. Tijela turističke zajednice</w:t>
      </w:r>
    </w:p>
    <w:p w14:paraId="78F6D191" w14:textId="16255E17" w:rsidR="009B6FC8" w:rsidRPr="00E50549" w:rsidRDefault="009B6FC8" w:rsidP="006A0FCE">
      <w:pPr>
        <w:pStyle w:val="TableParagraph"/>
        <w:numPr>
          <w:ilvl w:val="0"/>
          <w:numId w:val="24"/>
        </w:numPr>
        <w:ind w:right="-330"/>
        <w:rPr>
          <w:rFonts w:ascii="Calibri" w:hAnsi="Calibri" w:cs="Calibri"/>
          <w:sz w:val="24"/>
          <w:szCs w:val="24"/>
        </w:rPr>
      </w:pPr>
      <w:r w:rsidRPr="00E50549">
        <w:rPr>
          <w:rFonts w:ascii="Calibri" w:hAnsi="Calibri" w:cs="Calibri"/>
          <w:sz w:val="24"/>
          <w:szCs w:val="24"/>
        </w:rPr>
        <w:t>Uključuju troškove reprezentacije i  pripreme te distribucije materijala za potrebe održavanja sjednica</w:t>
      </w:r>
    </w:p>
    <w:p w14:paraId="32975D5E" w14:textId="77777777" w:rsidR="009B6FC8" w:rsidRPr="00E50549" w:rsidRDefault="009B6FC8" w:rsidP="006A0FCE">
      <w:pPr>
        <w:pStyle w:val="TableParagraph"/>
        <w:ind w:left="720" w:right="-330"/>
        <w:rPr>
          <w:rFonts w:ascii="Calibri" w:hAnsi="Calibri" w:cs="Calibri"/>
          <w:sz w:val="24"/>
          <w:szCs w:val="24"/>
        </w:rPr>
      </w:pPr>
    </w:p>
    <w:p w14:paraId="2755248E" w14:textId="4BC28C39" w:rsidR="00A57217" w:rsidRDefault="009B6FC8" w:rsidP="009D6B18">
      <w:pPr>
        <w:ind w:left="360" w:right="-330"/>
        <w:jc w:val="both"/>
        <w:rPr>
          <w:sz w:val="24"/>
        </w:rPr>
      </w:pPr>
      <w:r w:rsidRPr="00E50549">
        <w:rPr>
          <w:sz w:val="24"/>
        </w:rPr>
        <w:t>Potrebna sredstva: 5.000,00 kuna</w:t>
      </w:r>
    </w:p>
    <w:p w14:paraId="018A506F" w14:textId="5EE454D2" w:rsidR="009D6B18" w:rsidRDefault="009D6B18" w:rsidP="009D6B18">
      <w:pPr>
        <w:ind w:left="360" w:right="-330"/>
        <w:jc w:val="both"/>
        <w:rPr>
          <w:sz w:val="24"/>
        </w:rPr>
      </w:pPr>
    </w:p>
    <w:p w14:paraId="7896EB54" w14:textId="29FB4368" w:rsidR="009D6B18" w:rsidRDefault="009D6B18" w:rsidP="009D6B18">
      <w:pPr>
        <w:ind w:left="360" w:right="-330"/>
        <w:jc w:val="both"/>
        <w:rPr>
          <w:sz w:val="24"/>
        </w:rPr>
      </w:pPr>
    </w:p>
    <w:p w14:paraId="2755C905" w14:textId="210D8F4C" w:rsidR="00190090" w:rsidRDefault="00190090" w:rsidP="009D6B18">
      <w:pPr>
        <w:ind w:left="360" w:right="-330"/>
        <w:jc w:val="both"/>
        <w:rPr>
          <w:sz w:val="24"/>
        </w:rPr>
      </w:pPr>
    </w:p>
    <w:p w14:paraId="203F1F38" w14:textId="309D5B32" w:rsidR="00190090" w:rsidRDefault="00190090" w:rsidP="009D6B18">
      <w:pPr>
        <w:ind w:left="360" w:right="-330"/>
        <w:jc w:val="both"/>
        <w:rPr>
          <w:sz w:val="24"/>
        </w:rPr>
      </w:pPr>
    </w:p>
    <w:p w14:paraId="1FC05B51" w14:textId="317BF736" w:rsidR="00190090" w:rsidRDefault="00190090" w:rsidP="009D6B18">
      <w:pPr>
        <w:ind w:left="360" w:right="-330"/>
        <w:jc w:val="both"/>
        <w:rPr>
          <w:sz w:val="24"/>
        </w:rPr>
      </w:pPr>
    </w:p>
    <w:p w14:paraId="64768FF3" w14:textId="4D671E88" w:rsidR="00190090" w:rsidRPr="009D6B18" w:rsidRDefault="00190090" w:rsidP="00190090">
      <w:pPr>
        <w:ind w:right="-330"/>
        <w:jc w:val="both"/>
        <w:rPr>
          <w:sz w:val="24"/>
        </w:rPr>
      </w:pPr>
    </w:p>
    <w:p w14:paraId="62F0F832" w14:textId="77777777" w:rsidR="00A57217" w:rsidRPr="002F5270" w:rsidRDefault="00A57217" w:rsidP="006A0FCE">
      <w:pPr>
        <w:pStyle w:val="Glavninaslov"/>
        <w:numPr>
          <w:ilvl w:val="0"/>
          <w:numId w:val="26"/>
        </w:numPr>
        <w:ind w:right="-330"/>
        <w:rPr>
          <w:rFonts w:ascii="Calibri" w:hAnsi="Calibri" w:cs="Calibri"/>
          <w:sz w:val="32"/>
        </w:rPr>
      </w:pPr>
      <w:bookmarkStart w:id="1" w:name="_Toc57642679"/>
      <w:bookmarkStart w:id="2" w:name="_Toc57802144"/>
      <w:r w:rsidRPr="002F5270">
        <w:rPr>
          <w:rFonts w:ascii="Calibri" w:hAnsi="Calibri" w:cs="Calibri"/>
          <w:sz w:val="32"/>
        </w:rPr>
        <w:lastRenderedPageBreak/>
        <w:t>financijski plan</w:t>
      </w:r>
      <w:bookmarkEnd w:id="1"/>
      <w:bookmarkEnd w:id="2"/>
      <w:r w:rsidRPr="002F5270">
        <w:rPr>
          <w:rFonts w:ascii="Calibri" w:hAnsi="Calibri" w:cs="Calibri"/>
          <w:sz w:val="32"/>
        </w:rPr>
        <w:t xml:space="preserve"> </w:t>
      </w:r>
    </w:p>
    <w:p w14:paraId="516E8E33" w14:textId="77777777" w:rsidR="00A57217" w:rsidRDefault="00A57217" w:rsidP="006A0FCE">
      <w:pPr>
        <w:pStyle w:val="Glavninaslov"/>
        <w:numPr>
          <w:ilvl w:val="0"/>
          <w:numId w:val="0"/>
        </w:numPr>
        <w:ind w:left="-851" w:right="-330"/>
        <w:rPr>
          <w:rFonts w:ascii="Arial Narrow" w:hAnsi="Arial Narrow"/>
          <w:sz w:val="32"/>
        </w:rPr>
      </w:pPr>
    </w:p>
    <w:tbl>
      <w:tblPr>
        <w:tblW w:w="9780" w:type="dxa"/>
        <w:tblInd w:w="-431" w:type="dxa"/>
        <w:tblLook w:val="04A0" w:firstRow="1" w:lastRow="0" w:firstColumn="1" w:lastColumn="0" w:noHBand="0" w:noVBand="1"/>
      </w:tblPr>
      <w:tblGrid>
        <w:gridCol w:w="760"/>
        <w:gridCol w:w="800"/>
        <w:gridCol w:w="5500"/>
        <w:gridCol w:w="1760"/>
        <w:gridCol w:w="960"/>
      </w:tblGrid>
      <w:tr w:rsidR="00A57217" w:rsidRPr="00AF6A47" w14:paraId="0712B07C" w14:textId="77777777" w:rsidTr="00A57217">
        <w:trPr>
          <w:trHeight w:val="55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5213EB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D2EC98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CB7556" w14:textId="77777777" w:rsidR="00A57217" w:rsidRPr="00AF6A47" w:rsidRDefault="00A57217" w:rsidP="006A0FCE">
            <w:pPr>
              <w:ind w:right="-33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PRIHODI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61304C" w14:textId="77777777" w:rsidR="00A57217" w:rsidRPr="00AF6A47" w:rsidRDefault="00A57217" w:rsidP="002F455E">
            <w:pPr>
              <w:ind w:left="-284" w:right="-33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za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 (u kn)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869519" w14:textId="77777777" w:rsidR="00A57217" w:rsidRPr="00AF6A47" w:rsidRDefault="00A57217" w:rsidP="006A0FCE">
            <w:pPr>
              <w:ind w:right="-33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udio %</w:t>
            </w:r>
          </w:p>
        </w:tc>
      </w:tr>
      <w:tr w:rsidR="00A57217" w:rsidRPr="00AF6A47" w14:paraId="2A68AD1C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30934B3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337A4F3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BFC3BC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Izvorni prihodi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C4EBBE" w14:textId="12F005A5" w:rsidR="00A57217" w:rsidRPr="00BA5A26" w:rsidRDefault="00A57217" w:rsidP="002F455E">
            <w:pPr>
              <w:ind w:left="-426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BA5A2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47</w:t>
            </w:r>
            <w:r w:rsidRPr="00BA5A2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094E02B" w14:textId="04A6DFDD" w:rsidR="00A57217" w:rsidRPr="00AF6A47" w:rsidRDefault="007F66F9" w:rsidP="002F455E">
            <w:pPr>
              <w:tabs>
                <w:tab w:val="left" w:pos="425"/>
              </w:tabs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5,21</w:t>
            </w:r>
          </w:p>
        </w:tc>
      </w:tr>
      <w:tr w:rsidR="00A57217" w:rsidRPr="00AF6A47" w14:paraId="0B722A2C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DCB3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641F" w14:textId="77777777" w:rsidR="00A57217" w:rsidRPr="00B434D0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hr-HR"/>
              </w:rPr>
            </w:pPr>
            <w:r w:rsidRPr="00B434D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hr-HR"/>
              </w:rPr>
              <w:t>1.1.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A95E" w14:textId="77777777" w:rsidR="00A57217" w:rsidRPr="00B434D0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hr-HR"/>
              </w:rPr>
            </w:pPr>
            <w:r w:rsidRPr="00B434D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hr-HR"/>
              </w:rPr>
              <w:t>Turistička pristojba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4627" w14:textId="027A3465" w:rsidR="00A57217" w:rsidRPr="00BA5A26" w:rsidRDefault="00A57217" w:rsidP="002F455E">
            <w:pPr>
              <w:ind w:left="-42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  <w:r w:rsidRPr="00BA5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1930" w14:textId="3267122E" w:rsidR="00A57217" w:rsidRPr="00AF6A47" w:rsidRDefault="007F66F9" w:rsidP="002F455E">
            <w:pPr>
              <w:tabs>
                <w:tab w:val="left" w:pos="425"/>
              </w:tabs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0,78</w:t>
            </w:r>
          </w:p>
        </w:tc>
      </w:tr>
      <w:tr w:rsidR="00A57217" w:rsidRPr="00AF6A47" w14:paraId="53C7F391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8465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E92F" w14:textId="77777777" w:rsidR="00A57217" w:rsidRPr="00B434D0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hr-HR"/>
              </w:rPr>
            </w:pPr>
            <w:r w:rsidRPr="00B434D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hr-HR"/>
              </w:rPr>
              <w:t>1.2.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AFC0" w14:textId="77777777" w:rsidR="00A57217" w:rsidRPr="00B434D0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hr-HR"/>
              </w:rPr>
            </w:pPr>
            <w:r w:rsidRPr="00B434D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hr-HR"/>
              </w:rPr>
              <w:t>Članarina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465F" w14:textId="36C298BC" w:rsidR="00A57217" w:rsidRPr="00BA5A26" w:rsidRDefault="00A57217" w:rsidP="002F455E">
            <w:pPr>
              <w:ind w:left="-42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</w:t>
            </w:r>
            <w:r w:rsidRPr="00BA5A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7A63" w14:textId="386295C0" w:rsidR="00A57217" w:rsidRPr="00AF6A47" w:rsidRDefault="007F66F9" w:rsidP="002F455E">
            <w:pPr>
              <w:tabs>
                <w:tab w:val="left" w:pos="425"/>
              </w:tabs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4,43</w:t>
            </w:r>
          </w:p>
        </w:tc>
      </w:tr>
      <w:tr w:rsidR="00A57217" w:rsidRPr="00AF6A47" w14:paraId="1A74D7E4" w14:textId="77777777" w:rsidTr="00A57217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8D7E615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2.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A27664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A4AE18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iz proračuna općine/grada/županije i državnog proračuna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4B7D1C6" w14:textId="2262CF12" w:rsidR="00A57217" w:rsidRPr="00BA5A26" w:rsidRDefault="00A57217" w:rsidP="002F455E">
            <w:pPr>
              <w:ind w:left="-426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155</w:t>
            </w:r>
            <w:r w:rsidRPr="00BA5A2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74092" w14:textId="6FC64ADD" w:rsidR="00A57217" w:rsidRPr="00AF6A47" w:rsidRDefault="007F66F9" w:rsidP="002F455E">
            <w:pPr>
              <w:tabs>
                <w:tab w:val="left" w:pos="425"/>
              </w:tabs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17,18</w:t>
            </w:r>
          </w:p>
        </w:tc>
      </w:tr>
      <w:tr w:rsidR="00A57217" w:rsidRPr="00AF6A47" w14:paraId="6920D016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8AF7CF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517998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B29B4E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Prihodi od sustava turističkih zajednica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FCC612" w14:textId="6167531C" w:rsidR="00A57217" w:rsidRPr="00BA5A26" w:rsidRDefault="00A57217" w:rsidP="002F455E">
            <w:pPr>
              <w:ind w:left="-426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hr-HR"/>
              </w:rPr>
              <w:t>20</w:t>
            </w:r>
            <w:r w:rsidRPr="00BA5A26">
              <w:rPr>
                <w:rFonts w:ascii="Calibri" w:eastAsia="Times New Roman" w:hAnsi="Calibri" w:cs="Calibri"/>
                <w:b/>
                <w:color w:val="000000"/>
                <w:sz w:val="20"/>
                <w:lang w:eastAsia="hr-HR"/>
              </w:rPr>
              <w:t>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765FF" w14:textId="127FE0E9" w:rsidR="00A57217" w:rsidRPr="00AF6A47" w:rsidRDefault="007F66F9" w:rsidP="002F455E">
            <w:pPr>
              <w:tabs>
                <w:tab w:val="left" w:pos="425"/>
              </w:tabs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22,17</w:t>
            </w:r>
          </w:p>
        </w:tc>
      </w:tr>
      <w:tr w:rsidR="00A57217" w:rsidRPr="00AF6A47" w14:paraId="0A696B48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DBBDC6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0C3058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A76A86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iz EU fondova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AAE6642" w14:textId="77777777" w:rsidR="00A57217" w:rsidRPr="00BA5A26" w:rsidRDefault="00A57217" w:rsidP="002F455E">
            <w:pPr>
              <w:ind w:left="-426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lang w:eastAsia="hr-HR"/>
              </w:rPr>
            </w:pPr>
            <w:r w:rsidRPr="00BA5A26">
              <w:rPr>
                <w:rFonts w:ascii="Calibri" w:eastAsia="Times New Roman" w:hAnsi="Calibri" w:cs="Calibri"/>
                <w:b/>
                <w:color w:val="000000"/>
                <w:sz w:val="20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5A1B4" w14:textId="77777777" w:rsidR="00A57217" w:rsidRPr="00AF6A47" w:rsidRDefault="00A57217" w:rsidP="002F455E">
            <w:pPr>
              <w:tabs>
                <w:tab w:val="left" w:pos="425"/>
              </w:tabs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A57217" w:rsidRPr="00AF6A47" w14:paraId="0435C5C5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456A6C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7106CBA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27FDF3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 od gospodarske djelatnosti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464014" w14:textId="4B2412D0" w:rsidR="00A57217" w:rsidRPr="00BA5A26" w:rsidRDefault="00A57217" w:rsidP="002F455E">
            <w:pPr>
              <w:ind w:left="-426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hr-HR"/>
              </w:rPr>
              <w:t>10</w:t>
            </w:r>
            <w:r w:rsidRPr="00BA5A26">
              <w:rPr>
                <w:rFonts w:ascii="Calibri" w:eastAsia="Times New Roman" w:hAnsi="Calibri" w:cs="Calibri"/>
                <w:b/>
                <w:color w:val="000000"/>
                <w:sz w:val="20"/>
                <w:lang w:eastAsia="hr-HR"/>
              </w:rPr>
              <w:t>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E8D9" w14:textId="27BE7181" w:rsidR="00A57217" w:rsidRPr="00AF6A47" w:rsidRDefault="007F66F9" w:rsidP="002F455E">
            <w:pPr>
              <w:tabs>
                <w:tab w:val="left" w:pos="425"/>
              </w:tabs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1,11</w:t>
            </w:r>
          </w:p>
        </w:tc>
      </w:tr>
      <w:tr w:rsidR="00A57217" w:rsidRPr="00AF6A47" w14:paraId="6B4814F4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F0D0A3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80CE4A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76B4E3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Preneseni prihod iz prethodne godine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0657A9" w14:textId="1360AFAF" w:rsidR="00A57217" w:rsidRPr="00BA5A26" w:rsidRDefault="00A57217" w:rsidP="002F455E">
            <w:pPr>
              <w:ind w:left="-426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hr-HR"/>
              </w:rPr>
              <w:t>480</w:t>
            </w:r>
            <w:r w:rsidRPr="00BA5A26">
              <w:rPr>
                <w:rFonts w:ascii="Calibri" w:eastAsia="Times New Roman" w:hAnsi="Calibri" w:cs="Calibri"/>
                <w:b/>
                <w:color w:val="000000"/>
                <w:sz w:val="2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hr-HR"/>
              </w:rPr>
              <w:t>0</w:t>
            </w:r>
            <w:r w:rsidRPr="00BA5A26">
              <w:rPr>
                <w:rFonts w:ascii="Calibri" w:eastAsia="Times New Roman" w:hAnsi="Calibri" w:cs="Calibri"/>
                <w:b/>
                <w:color w:val="000000"/>
                <w:sz w:val="20"/>
                <w:lang w:eastAsia="hr-HR"/>
              </w:rPr>
              <w:t>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B727" w14:textId="4AD811E5" w:rsidR="00A57217" w:rsidRPr="00AF6A47" w:rsidRDefault="007F66F9" w:rsidP="002F455E">
            <w:pPr>
              <w:tabs>
                <w:tab w:val="left" w:pos="425"/>
              </w:tabs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53,22</w:t>
            </w:r>
          </w:p>
        </w:tc>
      </w:tr>
      <w:tr w:rsidR="00A57217" w:rsidRPr="00AF6A47" w14:paraId="7616F33A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758C0E9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ED969E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B7FB6C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Ostali prihodi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3537C6" w14:textId="5F99B54C" w:rsidR="00A57217" w:rsidRPr="00BA5A26" w:rsidRDefault="00F63891" w:rsidP="002F455E">
            <w:pPr>
              <w:ind w:left="-426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hr-HR"/>
              </w:rPr>
              <w:t>1</w:t>
            </w:r>
            <w:r w:rsidR="00A57217" w:rsidRPr="00BA5A26">
              <w:rPr>
                <w:rFonts w:ascii="Calibri" w:eastAsia="Times New Roman" w:hAnsi="Calibri" w:cs="Calibri"/>
                <w:b/>
                <w:color w:val="000000"/>
                <w:sz w:val="20"/>
                <w:lang w:eastAsia="hr-HR"/>
              </w:rPr>
              <w:t>0.</w:t>
            </w:r>
            <w:r w:rsidR="00501D15">
              <w:rPr>
                <w:rFonts w:ascii="Calibri" w:eastAsia="Times New Roman" w:hAnsi="Calibri" w:cs="Calibri"/>
                <w:b/>
                <w:color w:val="000000"/>
                <w:sz w:val="20"/>
                <w:lang w:eastAsia="hr-HR"/>
              </w:rPr>
              <w:t>0</w:t>
            </w:r>
            <w:r w:rsidR="00A57217" w:rsidRPr="00BA5A26">
              <w:rPr>
                <w:rFonts w:ascii="Calibri" w:eastAsia="Times New Roman" w:hAnsi="Calibri" w:cs="Calibri"/>
                <w:b/>
                <w:color w:val="000000"/>
                <w:sz w:val="20"/>
                <w:lang w:eastAsia="hr-HR"/>
              </w:rPr>
              <w:t>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98318" w14:textId="0AF9EE40" w:rsidR="00A57217" w:rsidRPr="00AF6A47" w:rsidRDefault="007F66F9" w:rsidP="002F455E">
            <w:pPr>
              <w:tabs>
                <w:tab w:val="left" w:pos="425"/>
              </w:tabs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1,11</w:t>
            </w:r>
          </w:p>
        </w:tc>
      </w:tr>
      <w:tr w:rsidR="00A57217" w:rsidRPr="00AF6A47" w14:paraId="22DCF046" w14:textId="77777777" w:rsidTr="00A57217">
        <w:trPr>
          <w:trHeight w:val="31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764"/>
            <w:vAlign w:val="center"/>
            <w:hideMark/>
          </w:tcPr>
          <w:p w14:paraId="697DEB28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hr-HR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vAlign w:val="center"/>
            <w:hideMark/>
          </w:tcPr>
          <w:p w14:paraId="1EB35DBC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 xml:space="preserve">SVEUKUPNO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noWrap/>
            <w:vAlign w:val="center"/>
            <w:hideMark/>
          </w:tcPr>
          <w:p w14:paraId="621FC6F8" w14:textId="42ECAF51" w:rsidR="00A57217" w:rsidRPr="00AF6A47" w:rsidRDefault="00F63891" w:rsidP="007F66F9">
            <w:pPr>
              <w:ind w:left="-426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90</w:t>
            </w:r>
            <w:r w:rsidR="00A572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noWrap/>
            <w:vAlign w:val="center"/>
            <w:hideMark/>
          </w:tcPr>
          <w:p w14:paraId="7820F17B" w14:textId="77777777" w:rsidR="00A57217" w:rsidRPr="00AF6A47" w:rsidRDefault="00A57217" w:rsidP="006F3E7A">
            <w:pPr>
              <w:ind w:right="-115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</w:tr>
    </w:tbl>
    <w:p w14:paraId="10FA792F" w14:textId="77777777" w:rsidR="00A57217" w:rsidRDefault="00A57217" w:rsidP="006A0FCE">
      <w:pPr>
        <w:pStyle w:val="Glavninaslov"/>
        <w:numPr>
          <w:ilvl w:val="0"/>
          <w:numId w:val="0"/>
        </w:numPr>
        <w:ind w:right="-330"/>
        <w:rPr>
          <w:rFonts w:ascii="Arial Narrow" w:hAnsi="Arial Narrow"/>
          <w:sz w:val="32"/>
        </w:rPr>
      </w:pPr>
    </w:p>
    <w:tbl>
      <w:tblPr>
        <w:tblW w:w="9780" w:type="dxa"/>
        <w:tblInd w:w="-431" w:type="dxa"/>
        <w:tblLook w:val="04A0" w:firstRow="1" w:lastRow="0" w:firstColumn="1" w:lastColumn="0" w:noHBand="0" w:noVBand="1"/>
      </w:tblPr>
      <w:tblGrid>
        <w:gridCol w:w="760"/>
        <w:gridCol w:w="800"/>
        <w:gridCol w:w="5500"/>
        <w:gridCol w:w="1760"/>
        <w:gridCol w:w="960"/>
      </w:tblGrid>
      <w:tr w:rsidR="00A57217" w:rsidRPr="00AF6A47" w14:paraId="451A8139" w14:textId="77777777" w:rsidTr="00A57217">
        <w:trPr>
          <w:trHeight w:val="55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07CC0C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2BEF9A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93E1E7" w14:textId="77777777" w:rsidR="00A57217" w:rsidRPr="00AF6A47" w:rsidRDefault="00A57217" w:rsidP="006A0FCE">
            <w:pPr>
              <w:ind w:right="-33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AKTIVNOSTI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E4E3787" w14:textId="77777777" w:rsidR="00A57217" w:rsidRPr="00AF6A47" w:rsidRDefault="00A57217" w:rsidP="002F455E">
            <w:pPr>
              <w:ind w:right="-8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za 2022</w:t>
            </w: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 (u kn)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9B5235D" w14:textId="77777777" w:rsidR="00A57217" w:rsidRPr="00AF6A47" w:rsidRDefault="00A57217" w:rsidP="006A0FCE">
            <w:pPr>
              <w:ind w:right="-33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udio %</w:t>
            </w:r>
          </w:p>
        </w:tc>
      </w:tr>
      <w:tr w:rsidR="00A57217" w:rsidRPr="00AF6A47" w14:paraId="1FB1B01D" w14:textId="77777777" w:rsidTr="009B6FC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DC4AC4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2CF9A0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271405A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ISTRAŽIVANJE I STRATEŠKO PLANIRANJE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BE6C46" w14:textId="08DA0196" w:rsidR="00A57217" w:rsidRPr="00C65A72" w:rsidRDefault="00A57217" w:rsidP="002F455E">
            <w:pPr>
              <w:ind w:right="58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C65A72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 </w:t>
            </w:r>
            <w:r w:rsidR="00F63891" w:rsidRPr="00C65A72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35</w:t>
            </w:r>
            <w:r w:rsidRPr="00C65A72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D4CA063" w14:textId="5CBCECF2" w:rsidR="00A57217" w:rsidRPr="00C65A72" w:rsidRDefault="007F66F9" w:rsidP="002F455E">
            <w:pPr>
              <w:ind w:right="-11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4,99</w:t>
            </w:r>
          </w:p>
        </w:tc>
      </w:tr>
      <w:tr w:rsidR="00A57217" w:rsidRPr="00AF6A47" w14:paraId="025CD270" w14:textId="77777777" w:rsidTr="00A57217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FA36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D3DD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B500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Izrada strateških/operativnih/komunikacijskih/akcijskih dokumenata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BA89" w14:textId="4C67BF7E" w:rsidR="00A57217" w:rsidRPr="00C65A72" w:rsidRDefault="009B6FC8" w:rsidP="002F455E">
            <w:pPr>
              <w:ind w:right="58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</w:t>
            </w:r>
            <w:r w:rsidR="00A57217"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CE513" w14:textId="35DB6499" w:rsidR="00A57217" w:rsidRPr="00C65A72" w:rsidRDefault="007F66F9" w:rsidP="002F455E">
            <w:pPr>
              <w:ind w:right="-11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2,85</w:t>
            </w:r>
          </w:p>
        </w:tc>
      </w:tr>
      <w:tr w:rsidR="00A57217" w:rsidRPr="00AF6A47" w14:paraId="7E70705E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BF92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1650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D67A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Istraživanje i analiza tržišta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D0E0" w14:textId="564531C2" w:rsidR="00A57217" w:rsidRPr="00C65A72" w:rsidRDefault="00F63891" w:rsidP="002F455E">
            <w:pPr>
              <w:ind w:right="58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</w:t>
            </w:r>
            <w:r w:rsidR="00A57217"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8F0F3" w14:textId="76EB2BF1" w:rsidR="00A57217" w:rsidRPr="00C65A72" w:rsidRDefault="007F66F9" w:rsidP="002F455E">
            <w:pPr>
              <w:ind w:right="-11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1,42</w:t>
            </w:r>
          </w:p>
        </w:tc>
      </w:tr>
      <w:tr w:rsidR="00A57217" w:rsidRPr="00AF6A47" w14:paraId="14AF3775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BB0A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2FE5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1.3.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460D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Mjerenje učinkovitosti promotivnih aktivnosti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1CBE" w14:textId="1D27B858" w:rsidR="00A57217" w:rsidRPr="00C65A72" w:rsidRDefault="00F63891" w:rsidP="002F455E">
            <w:pPr>
              <w:ind w:right="58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</w:t>
            </w:r>
            <w:r w:rsidR="00A57217"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86B74" w14:textId="7829CC7E" w:rsidR="00A57217" w:rsidRPr="00C65A72" w:rsidRDefault="007F66F9" w:rsidP="002F455E">
            <w:pPr>
              <w:ind w:right="-11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0,71</w:t>
            </w:r>
          </w:p>
        </w:tc>
      </w:tr>
      <w:tr w:rsidR="00A57217" w:rsidRPr="00AF6A47" w14:paraId="320FB553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EF2FB7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3063967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D4E78D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RAZVOJ TURISTIČKOG PROIZVODA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C402D6" w14:textId="5523E77E" w:rsidR="00A57217" w:rsidRPr="00C65A72" w:rsidRDefault="001522AE" w:rsidP="002F455E">
            <w:pPr>
              <w:ind w:right="58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C65A72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19</w:t>
            </w:r>
            <w:r w:rsidR="00F63891" w:rsidRPr="00C65A72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4AD93E6" w14:textId="321920BF" w:rsidR="00A57217" w:rsidRPr="00C65A72" w:rsidRDefault="007F66F9" w:rsidP="002F455E">
            <w:pPr>
              <w:ind w:right="-11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27,07</w:t>
            </w:r>
          </w:p>
        </w:tc>
      </w:tr>
      <w:tr w:rsidR="00A57217" w:rsidRPr="00AF6A47" w14:paraId="675453D9" w14:textId="77777777" w:rsidTr="00A57217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F1AB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EFA9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2.1.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E542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Identifikacija i vrednovanje resursa te strukturiranje turističkih proizvoda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FE06" w14:textId="2BA857E8" w:rsidR="00A57217" w:rsidRPr="00C65A72" w:rsidRDefault="001522AE" w:rsidP="002F455E">
            <w:pPr>
              <w:ind w:right="58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</w:t>
            </w:r>
            <w:r w:rsidR="009B6FC8"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</w:t>
            </w:r>
            <w:r w:rsidR="00A57217"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1F59" w14:textId="3F02F719" w:rsidR="00A57217" w:rsidRPr="00C65A72" w:rsidRDefault="007F66F9" w:rsidP="002F455E">
            <w:pPr>
              <w:ind w:right="-11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7,12</w:t>
            </w:r>
          </w:p>
        </w:tc>
      </w:tr>
      <w:tr w:rsidR="00A57217" w:rsidRPr="00AF6A47" w14:paraId="4EA326D9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A6B7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9021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2.2.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E6B3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Sustavi označavanja kvalitete turističkog proizvoda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6161" w14:textId="728A5745" w:rsidR="00A57217" w:rsidRPr="00C65A72" w:rsidRDefault="00A57217" w:rsidP="002F455E">
            <w:pPr>
              <w:ind w:right="58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DA5EC" w14:textId="1EBCF964" w:rsidR="00A57217" w:rsidRPr="00C65A72" w:rsidRDefault="007F66F9" w:rsidP="002F455E">
            <w:pPr>
              <w:ind w:right="-11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0,71</w:t>
            </w:r>
          </w:p>
        </w:tc>
      </w:tr>
      <w:tr w:rsidR="00A57217" w:rsidRPr="00AF6A47" w14:paraId="143B2B0D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440C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6BCE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2.3.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A9CE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Podrška razvoju turističkih događanja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3A3A" w14:textId="05370E7E" w:rsidR="00A57217" w:rsidRPr="00C65A72" w:rsidRDefault="00F63891" w:rsidP="001522AE">
            <w:pPr>
              <w:ind w:right="58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</w:t>
            </w:r>
            <w:r w:rsidR="001522AE"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</w:t>
            </w:r>
            <w:r w:rsidR="009B6FC8"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</w:t>
            </w:r>
            <w:r w:rsidR="00A57217"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  <w:r w:rsidR="009B6FC8"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</w:t>
            </w:r>
            <w:r w:rsidR="00A57217"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E763F" w14:textId="33E120FC" w:rsidR="00A57217" w:rsidRPr="00C65A72" w:rsidRDefault="007F66F9" w:rsidP="002F455E">
            <w:pPr>
              <w:ind w:right="-11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15,67</w:t>
            </w:r>
          </w:p>
        </w:tc>
      </w:tr>
      <w:tr w:rsidR="00A57217" w:rsidRPr="00AF6A47" w14:paraId="7ED66732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553C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AB86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2.4.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0D85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Turistička infrastruktura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78FE" w14:textId="6DDD2C6C" w:rsidR="00A57217" w:rsidRPr="00C65A72" w:rsidRDefault="009B6FC8" w:rsidP="002F455E">
            <w:pPr>
              <w:ind w:right="58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20.000</w:t>
            </w:r>
            <w:r w:rsidR="00A57217"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75B4D" w14:textId="348EA387" w:rsidR="00A57217" w:rsidRPr="00C65A72" w:rsidRDefault="007F66F9" w:rsidP="002F455E">
            <w:pPr>
              <w:ind w:right="-11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2,85</w:t>
            </w:r>
          </w:p>
        </w:tc>
      </w:tr>
      <w:tr w:rsidR="00A57217" w:rsidRPr="00AF6A47" w14:paraId="719EBA6B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DB49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2536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2.5.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4A1B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Podrška turističkoj industriji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D536" w14:textId="443AAE73" w:rsidR="00A57217" w:rsidRPr="00C65A72" w:rsidRDefault="00A57217" w:rsidP="002F455E">
            <w:pPr>
              <w:ind w:right="58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5.</w:t>
            </w:r>
            <w:r w:rsidR="009B6FC8"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</w:t>
            </w:r>
            <w:r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94591" w14:textId="2617572A" w:rsidR="00A57217" w:rsidRPr="00C65A72" w:rsidRDefault="007F66F9" w:rsidP="002F455E">
            <w:pPr>
              <w:ind w:right="-11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0,71</w:t>
            </w:r>
          </w:p>
        </w:tc>
      </w:tr>
      <w:tr w:rsidR="00A57217" w:rsidRPr="00AF6A47" w14:paraId="74316EB0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162868A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D05D15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8FDFB2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KOMUNIKACIJA I OGLAŠAVANJE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858D40" w14:textId="596DB297" w:rsidR="00A57217" w:rsidRPr="00C65A72" w:rsidRDefault="00A57217" w:rsidP="002F455E">
            <w:pPr>
              <w:ind w:right="58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  <w:r w:rsidR="00F63891" w:rsidRPr="00C65A72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143</w:t>
            </w:r>
            <w:r w:rsidRPr="00C65A72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B88A511" w14:textId="311973F4" w:rsidR="00A57217" w:rsidRPr="00C65A72" w:rsidRDefault="007F66F9" w:rsidP="002F455E">
            <w:pPr>
              <w:ind w:right="-11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20,37</w:t>
            </w:r>
          </w:p>
        </w:tc>
      </w:tr>
      <w:tr w:rsidR="00A57217" w:rsidRPr="00AF6A47" w14:paraId="3D1012B8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5D56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6869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3.1.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5884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Sajmovi, posebne prezentacije i poslovne radionice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87A9" w14:textId="233FD7FE" w:rsidR="00A57217" w:rsidRPr="00C65A72" w:rsidRDefault="00A57217" w:rsidP="002F455E">
            <w:pPr>
              <w:ind w:right="58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31B7" w14:textId="16DDE9D4" w:rsidR="00A57217" w:rsidRPr="00C65A72" w:rsidRDefault="007F66F9" w:rsidP="002F455E">
            <w:pPr>
              <w:ind w:right="-11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0,71</w:t>
            </w:r>
          </w:p>
        </w:tc>
      </w:tr>
      <w:tr w:rsidR="00A57217" w:rsidRPr="00AF6A47" w14:paraId="3B0B8A05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037F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F322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3.2.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2A94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Suradnja s organizatorima putovanja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57B2" w14:textId="4FAF55A3" w:rsidR="00A57217" w:rsidRPr="00C65A72" w:rsidRDefault="00F63891" w:rsidP="002F455E">
            <w:pPr>
              <w:ind w:right="58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</w:t>
            </w:r>
            <w:r w:rsidR="00A57217"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7F8AA" w14:textId="0E4591AF" w:rsidR="00A57217" w:rsidRPr="00C65A72" w:rsidRDefault="007F66F9" w:rsidP="002F455E">
            <w:pPr>
              <w:ind w:right="-11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0,71</w:t>
            </w:r>
          </w:p>
        </w:tc>
      </w:tr>
      <w:tr w:rsidR="00A57217" w:rsidRPr="00AF6A47" w14:paraId="01E09596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B536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B8D3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3.3.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592E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Kreiranje promotivnog materijala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3473" w14:textId="6E6A57E4" w:rsidR="00A57217" w:rsidRPr="00C65A72" w:rsidRDefault="00F63891" w:rsidP="002F455E">
            <w:pPr>
              <w:ind w:right="58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</w:t>
            </w:r>
            <w:r w:rsidR="00A57217"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FC11F" w14:textId="7FE1E5E3" w:rsidR="00A57217" w:rsidRPr="00C65A72" w:rsidRDefault="007F66F9" w:rsidP="002F455E">
            <w:pPr>
              <w:ind w:right="-11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7,12</w:t>
            </w:r>
          </w:p>
        </w:tc>
      </w:tr>
      <w:tr w:rsidR="00A57217" w:rsidRPr="00AF6A47" w14:paraId="184275A3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5CC2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39F9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3.4.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D87A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Internetske stranice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A40D" w14:textId="6D28F19C" w:rsidR="00A57217" w:rsidRPr="00C65A72" w:rsidRDefault="00F63891" w:rsidP="002F455E">
            <w:pPr>
              <w:ind w:right="58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</w:t>
            </w:r>
            <w:r w:rsidR="00A57217"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577E" w14:textId="4EC1BCE9" w:rsidR="00A57217" w:rsidRPr="00C65A72" w:rsidRDefault="007F66F9" w:rsidP="002F455E">
            <w:pPr>
              <w:ind w:right="-11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0,71</w:t>
            </w:r>
          </w:p>
        </w:tc>
      </w:tr>
      <w:tr w:rsidR="00A57217" w:rsidRPr="00AF6A47" w14:paraId="17CCCD87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A12A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B5E0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3.5.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489D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Kreiranje i upravljanje bazama turističkih podataka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7AA4" w14:textId="13E2774D" w:rsidR="00A57217" w:rsidRPr="00C65A72" w:rsidRDefault="009B6FC8" w:rsidP="002F455E">
            <w:pPr>
              <w:ind w:right="58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</w:t>
            </w:r>
            <w:r w:rsidR="00A57217"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A39E" w14:textId="6925C0B6" w:rsidR="00A57217" w:rsidRPr="00C65A72" w:rsidRDefault="007F66F9" w:rsidP="002F455E">
            <w:pPr>
              <w:ind w:right="-11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0,71</w:t>
            </w:r>
          </w:p>
        </w:tc>
      </w:tr>
      <w:tr w:rsidR="00A57217" w:rsidRPr="00AF6A47" w14:paraId="5F9D4BB6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6174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5577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3.6.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8429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Turističko-informativne aktivnosti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C8C6" w14:textId="7A05E6EE" w:rsidR="00A57217" w:rsidRPr="00C65A72" w:rsidRDefault="009B6FC8" w:rsidP="002F455E">
            <w:pPr>
              <w:ind w:right="58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  <w:r w:rsidR="00A57217"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03064" w14:textId="4913155C" w:rsidR="00A57217" w:rsidRPr="00C65A72" w:rsidRDefault="007F66F9" w:rsidP="002F455E">
            <w:pPr>
              <w:ind w:right="-11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0,43</w:t>
            </w:r>
          </w:p>
        </w:tc>
      </w:tr>
      <w:tr w:rsidR="00A57217" w:rsidRPr="00AF6A47" w14:paraId="17885DE1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67B9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FF8C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3.7.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6171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Marketinške i poslovne suradnje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261C" w14:textId="5924F69B" w:rsidR="00A57217" w:rsidRPr="00C65A72" w:rsidRDefault="00F63891" w:rsidP="002F455E">
            <w:pPr>
              <w:ind w:right="58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</w:t>
            </w:r>
            <w:r w:rsidR="009B6FC8"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</w:t>
            </w:r>
            <w:r w:rsidR="00A57217"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6D5E3" w14:textId="5DF21064" w:rsidR="00A57217" w:rsidRPr="00C65A72" w:rsidRDefault="007F66F9" w:rsidP="002F455E">
            <w:pPr>
              <w:ind w:right="-11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9,97</w:t>
            </w:r>
          </w:p>
        </w:tc>
      </w:tr>
      <w:tr w:rsidR="00A57217" w:rsidRPr="00AF6A47" w14:paraId="288F18CA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863051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F87A60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7BA4BE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DESTINACIJSKI MENADŽMENT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C6BEE22" w14:textId="12E7EBA0" w:rsidR="00A57217" w:rsidRPr="00C65A72" w:rsidRDefault="00A57217" w:rsidP="002F455E">
            <w:pPr>
              <w:ind w:right="58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C65A72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 </w:t>
            </w:r>
            <w:r w:rsidR="00F63891" w:rsidRPr="00C65A72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7</w:t>
            </w:r>
            <w:r w:rsidRPr="00C65A72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39B5169" w14:textId="4146C62E" w:rsidR="00A57217" w:rsidRPr="00C65A72" w:rsidRDefault="007F66F9" w:rsidP="002F455E">
            <w:pPr>
              <w:ind w:right="-11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1,00</w:t>
            </w:r>
          </w:p>
        </w:tc>
      </w:tr>
      <w:tr w:rsidR="00A57217" w:rsidRPr="00AF6A47" w14:paraId="2A86059E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C9BD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0EA8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4.1.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294F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Turistički informacijski sustavi i aplikacije /eVisitor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9337" w14:textId="42204EDC" w:rsidR="00A57217" w:rsidRPr="00C65A72" w:rsidRDefault="009B6FC8" w:rsidP="002F455E">
            <w:pPr>
              <w:ind w:right="58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</w:t>
            </w:r>
            <w:r w:rsidR="00A57217"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A84D0" w14:textId="2381D5BF" w:rsidR="00A57217" w:rsidRPr="00C65A72" w:rsidRDefault="007F66F9" w:rsidP="002F455E">
            <w:pPr>
              <w:ind w:right="-11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1,00</w:t>
            </w:r>
          </w:p>
        </w:tc>
      </w:tr>
      <w:tr w:rsidR="00A57217" w:rsidRPr="00AF6A47" w14:paraId="208BD686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4102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D5EC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4.2.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A3A9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Upravljanje kvalitetom u destinaciji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7E01" w14:textId="5F4D3398" w:rsidR="00A57217" w:rsidRPr="00C65A72" w:rsidRDefault="009B6FC8" w:rsidP="002F455E">
            <w:pPr>
              <w:ind w:right="58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</w:t>
            </w:r>
            <w:r w:rsidR="00A57217"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F6FB" w14:textId="1EF63CE4" w:rsidR="00A57217" w:rsidRPr="00C65A72" w:rsidRDefault="007F66F9" w:rsidP="002F455E">
            <w:pPr>
              <w:ind w:right="-11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</w:tr>
      <w:tr w:rsidR="00A57217" w:rsidRPr="00AF6A47" w14:paraId="084CB8ED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9644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8266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4.3.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58C6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Poticanje na očuvanje i uređenje okoliša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75FA" w14:textId="77777777" w:rsidR="00A57217" w:rsidRPr="00C65A72" w:rsidRDefault="00A57217" w:rsidP="002F455E">
            <w:pPr>
              <w:ind w:right="58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1CDB1" w14:textId="67BB88EE" w:rsidR="00A57217" w:rsidRPr="00C65A72" w:rsidRDefault="007F66F9" w:rsidP="002F455E">
            <w:pPr>
              <w:ind w:right="-11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</w:tr>
      <w:tr w:rsidR="00A57217" w:rsidRPr="00AF6A47" w14:paraId="6D0BB6C7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25F035D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10C128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CEE21E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ČLANSTVO U STRUKOVNIM ORGANIZACIJAMA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C5676C" w14:textId="3FD47016" w:rsidR="00A57217" w:rsidRPr="00C65A72" w:rsidRDefault="00A57217" w:rsidP="002F455E">
            <w:pPr>
              <w:ind w:right="58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C65A72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 </w:t>
            </w:r>
            <w:r w:rsidR="00F63891" w:rsidRPr="00C65A72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E1D81DD" w14:textId="022817D1" w:rsidR="00A57217" w:rsidRPr="00C65A72" w:rsidRDefault="007F66F9" w:rsidP="002F455E">
            <w:pPr>
              <w:ind w:right="-11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0,01</w:t>
            </w:r>
          </w:p>
        </w:tc>
      </w:tr>
      <w:tr w:rsidR="00A57217" w:rsidRPr="00AF6A47" w14:paraId="7ADE0162" w14:textId="77777777" w:rsidTr="009B6FC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6FD2AC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F1FD5B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91630D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ADMINISTRATIVNI POSLOVI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91BF25" w14:textId="5857033E" w:rsidR="00A57217" w:rsidRPr="00C65A72" w:rsidRDefault="001522AE" w:rsidP="002F455E">
            <w:pPr>
              <w:ind w:right="58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C65A72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326.9</w:t>
            </w:r>
            <w:r w:rsidR="00F63891" w:rsidRPr="00C65A72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55EA49D" w14:textId="2A978D7B" w:rsidR="00A57217" w:rsidRPr="00C65A72" w:rsidRDefault="007F66F9" w:rsidP="002F455E">
            <w:pPr>
              <w:ind w:right="-11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46,56</w:t>
            </w:r>
          </w:p>
        </w:tc>
      </w:tr>
      <w:tr w:rsidR="00A57217" w:rsidRPr="00AF6A47" w14:paraId="0C00234A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1173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4491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6.1.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35B6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Plaće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4217" w14:textId="5B98B128" w:rsidR="00A57217" w:rsidRPr="00C65A72" w:rsidRDefault="009B6FC8" w:rsidP="002F455E">
            <w:pPr>
              <w:ind w:right="58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97</w:t>
            </w:r>
            <w:r w:rsidR="00A57217"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  <w:r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</w:t>
            </w:r>
            <w:r w:rsidR="00A57217"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1DF6" w14:textId="201DB3F0" w:rsidR="00A57217" w:rsidRPr="00C65A72" w:rsidRDefault="007F66F9" w:rsidP="002F455E">
            <w:pPr>
              <w:ind w:right="-11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13,89</w:t>
            </w:r>
          </w:p>
        </w:tc>
      </w:tr>
      <w:tr w:rsidR="00A57217" w:rsidRPr="00AF6A47" w14:paraId="118FF202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74D8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6DB2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6.2.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F672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Neoporezivi primici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3068" w14:textId="0A072A2D" w:rsidR="00A57217" w:rsidRPr="00C65A72" w:rsidRDefault="009B6FC8" w:rsidP="002F455E">
            <w:pPr>
              <w:ind w:right="58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18</w:t>
            </w:r>
            <w:r w:rsidR="00A57217"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  <w:r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</w:t>
            </w:r>
            <w:r w:rsidR="00A57217"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9DA14" w14:textId="114C832B" w:rsidR="00A57217" w:rsidRPr="00C65A72" w:rsidRDefault="007F66F9" w:rsidP="002F455E">
            <w:pPr>
              <w:ind w:right="-11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2,56</w:t>
            </w:r>
          </w:p>
        </w:tc>
      </w:tr>
      <w:tr w:rsidR="00A57217" w:rsidRPr="00AF6A47" w14:paraId="13100408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E7CE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A2B3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6.3.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9733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Dnevnice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6834" w14:textId="00EC57E4" w:rsidR="00A57217" w:rsidRPr="00C65A72" w:rsidRDefault="009B6FC8" w:rsidP="002F455E">
            <w:pPr>
              <w:ind w:right="58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</w:t>
            </w:r>
            <w:r w:rsidR="00A57217"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6338" w14:textId="79DEE9A2" w:rsidR="00A57217" w:rsidRPr="00C65A72" w:rsidRDefault="007F66F9" w:rsidP="002F455E">
            <w:pPr>
              <w:ind w:right="-11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1,42</w:t>
            </w:r>
          </w:p>
        </w:tc>
      </w:tr>
      <w:tr w:rsidR="00A57217" w:rsidRPr="00AF6A47" w14:paraId="63DFE461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7295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A980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6.4.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7880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Materijalni troškovi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C102" w14:textId="62B416AE" w:rsidR="00A57217" w:rsidRPr="00C65A72" w:rsidRDefault="001522AE" w:rsidP="002F455E">
            <w:pPr>
              <w:ind w:right="58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196</w:t>
            </w:r>
            <w:r w:rsidR="00A57217"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  <w:r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="00A57217"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242F7" w14:textId="1F711524" w:rsidR="00A57217" w:rsidRPr="00C65A72" w:rsidRDefault="007F66F9" w:rsidP="002F455E">
            <w:pPr>
              <w:ind w:right="-11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27,98</w:t>
            </w:r>
          </w:p>
        </w:tc>
      </w:tr>
      <w:tr w:rsidR="00A57217" w:rsidRPr="00AF6A47" w14:paraId="6A5895BA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57C0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138D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6.5.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E7E8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Tijela turističke zajednice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8766" w14:textId="283A022D" w:rsidR="00A57217" w:rsidRPr="00C65A72" w:rsidRDefault="009B6FC8" w:rsidP="002F455E">
            <w:pPr>
              <w:ind w:right="58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</w:t>
            </w:r>
            <w:r w:rsidR="00A57217" w:rsidRPr="00C65A7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21EE9" w14:textId="43F93B57" w:rsidR="00A57217" w:rsidRPr="00C65A72" w:rsidRDefault="007F66F9" w:rsidP="002F455E">
            <w:pPr>
              <w:ind w:right="-115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0,71</w:t>
            </w:r>
          </w:p>
        </w:tc>
      </w:tr>
      <w:tr w:rsidR="00A57217" w:rsidRPr="00AF6A47" w14:paraId="4DFE4350" w14:textId="77777777" w:rsidTr="009B6FC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74EC8A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7A36086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1BAA7DA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REZERVA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C658B9" w14:textId="77777777" w:rsidR="00A57217" w:rsidRPr="00C65A72" w:rsidRDefault="00A57217" w:rsidP="002F455E">
            <w:pPr>
              <w:ind w:right="58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C65A72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 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44674DD" w14:textId="36973320" w:rsidR="00A57217" w:rsidRPr="00C65A72" w:rsidRDefault="007F66F9" w:rsidP="002F455E">
            <w:pPr>
              <w:ind w:left="-253" w:right="-330" w:firstLine="25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</w:tr>
      <w:tr w:rsidR="00A57217" w:rsidRPr="00AF6A47" w14:paraId="614EDDF6" w14:textId="77777777" w:rsidTr="009B6FC8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6925D0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DC568F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F1760E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POKRIVANJE MANJKA PRIHODA IZ PRETHODNE GODINE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F4AC337" w14:textId="77777777" w:rsidR="00A57217" w:rsidRPr="00C65A72" w:rsidRDefault="00A57217" w:rsidP="002F455E">
            <w:pPr>
              <w:ind w:right="58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C65A72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 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22FDD6F" w14:textId="2806B44B" w:rsidR="00A57217" w:rsidRPr="00C65A72" w:rsidRDefault="007F66F9" w:rsidP="002F455E">
            <w:pPr>
              <w:ind w:left="-253" w:right="-330" w:firstLine="25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</w:tr>
      <w:tr w:rsidR="00A57217" w:rsidRPr="00AF6A47" w14:paraId="14D7D6EC" w14:textId="77777777" w:rsidTr="00A57217">
        <w:trPr>
          <w:trHeight w:val="31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764"/>
            <w:vAlign w:val="center"/>
            <w:hideMark/>
          </w:tcPr>
          <w:p w14:paraId="29A62320" w14:textId="62D57288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hr-HR"/>
              </w:rPr>
            </w:pPr>
            <w:bookmarkStart w:id="3" w:name="RANGE!A52"/>
            <w:r w:rsidRPr="00AF6A47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hr-HR"/>
              </w:rPr>
              <w:t> </w:t>
            </w:r>
            <w:bookmarkEnd w:id="3"/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vAlign w:val="center"/>
            <w:hideMark/>
          </w:tcPr>
          <w:p w14:paraId="659E46A8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SVEUKUPNO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noWrap/>
            <w:vAlign w:val="center"/>
            <w:hideMark/>
          </w:tcPr>
          <w:p w14:paraId="0409988A" w14:textId="7572A44D" w:rsidR="00A57217" w:rsidRPr="00AF6A47" w:rsidRDefault="001522AE" w:rsidP="001522AE">
            <w:pPr>
              <w:ind w:right="58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702.0</w:t>
            </w:r>
            <w:r w:rsidR="009B6FC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</w:t>
            </w:r>
            <w:r w:rsidR="00A572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noWrap/>
            <w:vAlign w:val="center"/>
            <w:hideMark/>
          </w:tcPr>
          <w:p w14:paraId="7F2DA31F" w14:textId="3F78FBFD" w:rsidR="00A57217" w:rsidRPr="00AF6A47" w:rsidRDefault="00A57217" w:rsidP="002F455E">
            <w:pPr>
              <w:ind w:left="-253" w:right="-330" w:firstLine="253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100,00</w:t>
            </w:r>
          </w:p>
        </w:tc>
      </w:tr>
    </w:tbl>
    <w:p w14:paraId="375CDC8C" w14:textId="77777777" w:rsidR="00A57217" w:rsidRDefault="00A57217" w:rsidP="006A0FCE">
      <w:pPr>
        <w:pStyle w:val="Glavninaslov"/>
        <w:numPr>
          <w:ilvl w:val="0"/>
          <w:numId w:val="0"/>
        </w:numPr>
        <w:ind w:right="-330"/>
        <w:rPr>
          <w:rFonts w:ascii="Arial Narrow" w:hAnsi="Arial Narrow"/>
          <w:sz w:val="32"/>
        </w:rPr>
      </w:pPr>
    </w:p>
    <w:tbl>
      <w:tblPr>
        <w:tblW w:w="9780" w:type="dxa"/>
        <w:tblInd w:w="-431" w:type="dxa"/>
        <w:tblLook w:val="04A0" w:firstRow="1" w:lastRow="0" w:firstColumn="1" w:lastColumn="0" w:noHBand="0" w:noVBand="1"/>
      </w:tblPr>
      <w:tblGrid>
        <w:gridCol w:w="760"/>
        <w:gridCol w:w="800"/>
        <w:gridCol w:w="5500"/>
        <w:gridCol w:w="1760"/>
        <w:gridCol w:w="960"/>
      </w:tblGrid>
      <w:tr w:rsidR="00A57217" w:rsidRPr="00AF6A47" w14:paraId="5EF33E31" w14:textId="77777777" w:rsidTr="00A57217">
        <w:trPr>
          <w:trHeight w:val="28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085C546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6EDBCD0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9713BC1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FONDOVI - posebne namjene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80DFEF7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BFB337E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57217" w:rsidRPr="00AF6A47" w14:paraId="717CD076" w14:textId="77777777" w:rsidTr="00A57217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BA57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5B98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B4B4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Fond za turističke zajednice na  turistički nedovoljno razvijenim područjima i kontinentu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391A" w14:textId="51F72030" w:rsidR="00A57217" w:rsidRPr="00AF6A47" w:rsidRDefault="009B6FC8" w:rsidP="002F455E">
            <w:pPr>
              <w:ind w:left="-284" w:right="58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  <w:r w:rsidR="00A57217" w:rsidRPr="00AF6A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  <w:r w:rsidR="00A572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  <w:r w:rsidR="00A57217" w:rsidRPr="00AF6A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000</w:t>
            </w:r>
            <w:r w:rsidR="00A572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80DF" w14:textId="77777777" w:rsidR="00A57217" w:rsidRPr="00AF6A47" w:rsidRDefault="00A57217" w:rsidP="002F455E">
            <w:pPr>
              <w:ind w:right="-33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57217" w:rsidRPr="00AF6A47" w14:paraId="2A6970B7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3CD2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2B2A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D327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Fond za projekte udruženih turističkih zajednica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8AC2" w14:textId="17A91DCC" w:rsidR="00A57217" w:rsidRPr="00AF6A47" w:rsidRDefault="009B6FC8" w:rsidP="002F455E">
            <w:pPr>
              <w:ind w:left="-284" w:right="58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  <w:r w:rsidR="00A57217" w:rsidRPr="00AF6A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  <w:r w:rsidR="00A572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  <w:r w:rsidR="00A57217" w:rsidRPr="00AF6A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000</w:t>
            </w:r>
            <w:r w:rsidR="00A572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1D9B" w14:textId="77777777" w:rsidR="00A57217" w:rsidRPr="00AF6A47" w:rsidRDefault="00A57217" w:rsidP="002F455E">
            <w:pPr>
              <w:ind w:right="-33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57217" w:rsidRPr="00AF6A47" w14:paraId="717F255C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764"/>
            <w:noWrap/>
            <w:vAlign w:val="center"/>
            <w:hideMark/>
          </w:tcPr>
          <w:p w14:paraId="2A15F92B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noWrap/>
            <w:vAlign w:val="center"/>
            <w:hideMark/>
          </w:tcPr>
          <w:p w14:paraId="2804B48C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vAlign w:val="center"/>
            <w:hideMark/>
          </w:tcPr>
          <w:p w14:paraId="578F351A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SVEUKUPNO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noWrap/>
            <w:vAlign w:val="center"/>
            <w:hideMark/>
          </w:tcPr>
          <w:p w14:paraId="2BF502E9" w14:textId="270A6E71" w:rsidR="00A57217" w:rsidRPr="00AF6A47" w:rsidRDefault="001522AE" w:rsidP="002F455E">
            <w:pPr>
              <w:ind w:left="-284" w:right="58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2</w:t>
            </w:r>
            <w:r w:rsidR="00A57217" w:rsidRPr="00AF6A4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00</w:t>
            </w:r>
            <w:r w:rsidR="00A5721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.</w:t>
            </w:r>
            <w:r w:rsidR="00A57217" w:rsidRPr="00AF6A4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000</w:t>
            </w:r>
            <w:r w:rsidR="00A5721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noWrap/>
            <w:vAlign w:val="center"/>
            <w:hideMark/>
          </w:tcPr>
          <w:p w14:paraId="717D5DAA" w14:textId="77777777" w:rsidR="00A57217" w:rsidRPr="00AF6A47" w:rsidRDefault="00A57217" w:rsidP="006A0FCE">
            <w:pPr>
              <w:ind w:right="-330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A57217" w:rsidRPr="00AF6A47" w14:paraId="1712CCA1" w14:textId="77777777" w:rsidTr="00A57217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3C20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5B4A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DA2F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0EAC" w14:textId="77777777" w:rsidR="00A57217" w:rsidRPr="00AF6A47" w:rsidRDefault="00A57217" w:rsidP="002F455E">
            <w:pPr>
              <w:ind w:left="-284"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AEE8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57217" w:rsidRPr="00AF6A47" w14:paraId="51B0F722" w14:textId="77777777" w:rsidTr="00A57217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764"/>
            <w:vAlign w:val="center"/>
            <w:hideMark/>
          </w:tcPr>
          <w:p w14:paraId="474107DE" w14:textId="77777777" w:rsidR="00A57217" w:rsidRPr="00AF6A47" w:rsidRDefault="00A57217" w:rsidP="006A0FCE">
            <w:pPr>
              <w:ind w:right="-33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hr-HR"/>
              </w:rPr>
              <w:t>TOTAL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vAlign w:val="center"/>
            <w:hideMark/>
          </w:tcPr>
          <w:p w14:paraId="24D79F26" w14:textId="77777777" w:rsidR="00A57217" w:rsidRPr="00AF6A47" w:rsidRDefault="00A57217" w:rsidP="006A0FCE">
            <w:pPr>
              <w:ind w:right="-330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AF6A47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hr-HR"/>
              </w:rPr>
              <w:t>SVEUKUPNO 1+ SVEUKUPNO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noWrap/>
            <w:vAlign w:val="center"/>
            <w:hideMark/>
          </w:tcPr>
          <w:p w14:paraId="7F0143ED" w14:textId="2FA43571" w:rsidR="00A57217" w:rsidRPr="00AF6A47" w:rsidRDefault="001522AE" w:rsidP="002F455E">
            <w:pPr>
              <w:ind w:left="-284" w:right="58"/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902</w:t>
            </w:r>
            <w:r w:rsidR="00A5721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0</w:t>
            </w:r>
            <w:r w:rsidR="00A57217" w:rsidRPr="00AF6A4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00</w:t>
            </w:r>
            <w:r w:rsidR="00A57217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764"/>
            <w:noWrap/>
            <w:vAlign w:val="center"/>
            <w:hideMark/>
          </w:tcPr>
          <w:p w14:paraId="6E97D41B" w14:textId="77777777" w:rsidR="00A57217" w:rsidRPr="00AF6A47" w:rsidRDefault="00A57217" w:rsidP="002F455E">
            <w:pPr>
              <w:ind w:right="-330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100,00</w:t>
            </w:r>
          </w:p>
        </w:tc>
      </w:tr>
    </w:tbl>
    <w:p w14:paraId="0D05BFC7" w14:textId="77777777" w:rsidR="00A57217" w:rsidRDefault="00A57217" w:rsidP="006A0FCE">
      <w:pPr>
        <w:pStyle w:val="Glavninaslov"/>
        <w:numPr>
          <w:ilvl w:val="0"/>
          <w:numId w:val="0"/>
        </w:numPr>
        <w:ind w:right="-330"/>
        <w:rPr>
          <w:rFonts w:ascii="Arial Narrow" w:hAnsi="Arial Narrow"/>
          <w:sz w:val="32"/>
        </w:rPr>
      </w:pPr>
    </w:p>
    <w:p w14:paraId="1FB13577" w14:textId="337D4787" w:rsidR="00A57217" w:rsidRDefault="00A57217" w:rsidP="006A0FCE">
      <w:pPr>
        <w:ind w:left="-993" w:right="-330"/>
      </w:pPr>
    </w:p>
    <w:p w14:paraId="682DCF3F" w14:textId="79139DFF" w:rsidR="00190090" w:rsidRDefault="00190090" w:rsidP="006A0FCE">
      <w:pPr>
        <w:ind w:left="-993" w:right="-330"/>
      </w:pPr>
    </w:p>
    <w:p w14:paraId="00A1404B" w14:textId="452C2C14" w:rsidR="00190090" w:rsidRDefault="00190090" w:rsidP="006A0FCE">
      <w:pPr>
        <w:ind w:left="-993" w:right="-330"/>
      </w:pPr>
    </w:p>
    <w:p w14:paraId="4AA3C2E6" w14:textId="0778C960" w:rsidR="00190090" w:rsidRDefault="00190090" w:rsidP="006A0FCE">
      <w:pPr>
        <w:ind w:left="-993" w:right="-330"/>
      </w:pPr>
    </w:p>
    <w:p w14:paraId="3FD216DB" w14:textId="77777777" w:rsidR="00190090" w:rsidRPr="00E65D8E" w:rsidRDefault="00190090" w:rsidP="006A0FCE">
      <w:pPr>
        <w:ind w:left="-993" w:right="-330"/>
      </w:pPr>
    </w:p>
    <w:p w14:paraId="374D129D" w14:textId="3C219F29" w:rsidR="00D87618" w:rsidRPr="00E65D8E" w:rsidRDefault="00D87618" w:rsidP="006A0FCE">
      <w:pPr>
        <w:ind w:right="-330"/>
        <w:rPr>
          <w:b/>
          <w:sz w:val="32"/>
        </w:rPr>
      </w:pPr>
      <w:r w:rsidRPr="00E65D8E">
        <w:rPr>
          <w:b/>
          <w:sz w:val="32"/>
        </w:rPr>
        <w:lastRenderedPageBreak/>
        <w:t>ZAKLJUČAK:</w:t>
      </w:r>
    </w:p>
    <w:p w14:paraId="70E3C208" w14:textId="06845940" w:rsidR="00D87618" w:rsidRPr="00E65D8E" w:rsidRDefault="00D87618" w:rsidP="006A0FCE">
      <w:pPr>
        <w:ind w:right="-330"/>
        <w:jc w:val="both"/>
        <w:rPr>
          <w:sz w:val="24"/>
        </w:rPr>
      </w:pPr>
      <w:r w:rsidRPr="00E65D8E">
        <w:rPr>
          <w:sz w:val="24"/>
        </w:rPr>
        <w:t>Kontinuitet upornog rada, promocije i provođenja edukacije vidljivi su</w:t>
      </w:r>
      <w:r w:rsidR="00952A60" w:rsidRPr="00E65D8E">
        <w:rPr>
          <w:sz w:val="24"/>
        </w:rPr>
        <w:t xml:space="preserve"> kroz</w:t>
      </w:r>
      <w:r w:rsidRPr="00E65D8E">
        <w:rPr>
          <w:sz w:val="24"/>
        </w:rPr>
        <w:t xml:space="preserve"> rezultat</w:t>
      </w:r>
      <w:r w:rsidR="00952A60" w:rsidRPr="00E65D8E">
        <w:rPr>
          <w:sz w:val="24"/>
        </w:rPr>
        <w:t>e</w:t>
      </w:r>
      <w:r w:rsidRPr="00E65D8E">
        <w:rPr>
          <w:sz w:val="24"/>
        </w:rPr>
        <w:t>, osobito u vidljivosti destinacije, te polaganom razvoju i kreiranj</w:t>
      </w:r>
      <w:r w:rsidR="00952A60" w:rsidRPr="00E65D8E">
        <w:rPr>
          <w:sz w:val="24"/>
        </w:rPr>
        <w:t>u</w:t>
      </w:r>
      <w:r w:rsidRPr="00E65D8E">
        <w:rPr>
          <w:sz w:val="24"/>
        </w:rPr>
        <w:t xml:space="preserve"> turističkih proizvoda. Turistička zajednica područja “Središnja Podravina” u proteklom se razdoblju istaknula </w:t>
      </w:r>
      <w:r w:rsidR="00E65D8E" w:rsidRPr="00E65D8E">
        <w:rPr>
          <w:sz w:val="24"/>
        </w:rPr>
        <w:t>inovativnošću i kvalitetom rada.</w:t>
      </w:r>
      <w:r w:rsidRPr="00E65D8E">
        <w:rPr>
          <w:sz w:val="24"/>
        </w:rPr>
        <w:t xml:space="preserve"> U svom radu planira se nastaviti s koordinacijom, sustavnom edukacijom i savjetodavnom ulogom u zajednici</w:t>
      </w:r>
      <w:r w:rsidR="0012292A" w:rsidRPr="00E65D8E">
        <w:rPr>
          <w:sz w:val="24"/>
        </w:rPr>
        <w:t>.</w:t>
      </w:r>
      <w:r w:rsidR="00E65D8E" w:rsidRPr="00E65D8E">
        <w:rPr>
          <w:sz w:val="24"/>
        </w:rPr>
        <w:t xml:space="preserve"> Također nastojat će se bolje pozicionirati na turističkom tržištu uz kvalitetan marketing te privlačnu turističku ponudu.</w:t>
      </w:r>
    </w:p>
    <w:p w14:paraId="61049609" w14:textId="2983C485" w:rsidR="00D87618" w:rsidRDefault="0012292A" w:rsidP="006A0FCE">
      <w:pPr>
        <w:ind w:right="-330"/>
        <w:jc w:val="both"/>
        <w:rPr>
          <w:sz w:val="24"/>
        </w:rPr>
      </w:pPr>
      <w:r w:rsidRPr="00E65D8E">
        <w:rPr>
          <w:sz w:val="24"/>
        </w:rPr>
        <w:t>Potrebno je</w:t>
      </w:r>
      <w:r w:rsidR="00D87618" w:rsidRPr="00E65D8E">
        <w:rPr>
          <w:sz w:val="24"/>
        </w:rPr>
        <w:t xml:space="preserve"> nastaviti razvijati kvalitetan sadržaj u suradnji sa subjektima koji djeluju na području turističke zajednice područja s naglaskom na važnost nematerijalne baštine, prirodne i kulturne baštine te jačanju ljudskih resursa. </w:t>
      </w:r>
    </w:p>
    <w:p w14:paraId="3F16EB99" w14:textId="6D5918C8" w:rsidR="00E04AFA" w:rsidRDefault="00E04AFA" w:rsidP="006A0FCE">
      <w:pPr>
        <w:ind w:right="-330"/>
        <w:jc w:val="both"/>
        <w:rPr>
          <w:sz w:val="24"/>
        </w:rPr>
      </w:pPr>
    </w:p>
    <w:p w14:paraId="0E18A672" w14:textId="62B62B91" w:rsidR="00E04AFA" w:rsidRDefault="00E04AFA" w:rsidP="006A0FCE">
      <w:pPr>
        <w:ind w:right="-330"/>
        <w:jc w:val="both"/>
        <w:rPr>
          <w:sz w:val="24"/>
        </w:rPr>
      </w:pPr>
    </w:p>
    <w:p w14:paraId="01B256CF" w14:textId="31B903B7" w:rsidR="00E04AFA" w:rsidRDefault="00E04AFA" w:rsidP="006A0FCE">
      <w:pPr>
        <w:ind w:right="-330"/>
        <w:jc w:val="both"/>
        <w:rPr>
          <w:sz w:val="24"/>
        </w:rPr>
      </w:pPr>
    </w:p>
    <w:p w14:paraId="21D04605" w14:textId="4E1B03AF" w:rsidR="00E04AFA" w:rsidRDefault="00E04AFA" w:rsidP="006A0FCE">
      <w:pPr>
        <w:ind w:right="-330"/>
        <w:jc w:val="both"/>
        <w:rPr>
          <w:sz w:val="24"/>
        </w:rPr>
      </w:pPr>
    </w:p>
    <w:p w14:paraId="7D69308E" w14:textId="4778AB93" w:rsidR="00E04AFA" w:rsidRDefault="00E04AFA" w:rsidP="006A0FCE">
      <w:pPr>
        <w:ind w:right="-330"/>
        <w:jc w:val="both"/>
        <w:rPr>
          <w:sz w:val="24"/>
        </w:rPr>
      </w:pPr>
    </w:p>
    <w:p w14:paraId="2CA9E690" w14:textId="040224B6" w:rsidR="00E04AFA" w:rsidRDefault="00E04AFA" w:rsidP="00E04AFA">
      <w:pPr>
        <w:ind w:right="-330"/>
        <w:jc w:val="right"/>
        <w:rPr>
          <w:sz w:val="24"/>
        </w:rPr>
      </w:pPr>
      <w:r>
        <w:rPr>
          <w:sz w:val="24"/>
        </w:rPr>
        <w:t xml:space="preserve">Predsjednik: </w:t>
      </w:r>
    </w:p>
    <w:p w14:paraId="2AD4B018" w14:textId="4BC5F2D8" w:rsidR="00E04AFA" w:rsidRPr="00E65D8E" w:rsidRDefault="00E04AFA" w:rsidP="00E04AFA">
      <w:pPr>
        <w:ind w:right="-330"/>
        <w:jc w:val="right"/>
        <w:rPr>
          <w:sz w:val="24"/>
        </w:rPr>
      </w:pPr>
      <w:r>
        <w:rPr>
          <w:sz w:val="24"/>
        </w:rPr>
        <w:t>Mirko Perok</w:t>
      </w:r>
    </w:p>
    <w:sectPr w:rsidR="00E04AFA" w:rsidRPr="00E65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A20C" w14:textId="77777777" w:rsidR="00A06821" w:rsidRDefault="00A06821" w:rsidP="00953036">
      <w:pPr>
        <w:spacing w:after="0" w:line="240" w:lineRule="auto"/>
      </w:pPr>
      <w:r>
        <w:separator/>
      </w:r>
    </w:p>
  </w:endnote>
  <w:endnote w:type="continuationSeparator" w:id="0">
    <w:p w14:paraId="22AC44E3" w14:textId="77777777" w:rsidR="00A06821" w:rsidRDefault="00A06821" w:rsidP="0095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262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13350A" w14:textId="50689995" w:rsidR="00623F1A" w:rsidRDefault="00A06821">
        <w:pPr>
          <w:pStyle w:val="Footer"/>
          <w:jc w:val="right"/>
        </w:pPr>
      </w:p>
    </w:sdtContent>
  </w:sdt>
  <w:p w14:paraId="1C488287" w14:textId="77777777" w:rsidR="00623F1A" w:rsidRDefault="00623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2F921" w14:textId="77777777" w:rsidR="00A06821" w:rsidRDefault="00A06821" w:rsidP="00953036">
      <w:pPr>
        <w:spacing w:after="0" w:line="240" w:lineRule="auto"/>
      </w:pPr>
      <w:r>
        <w:separator/>
      </w:r>
    </w:p>
  </w:footnote>
  <w:footnote w:type="continuationSeparator" w:id="0">
    <w:p w14:paraId="536CBCA7" w14:textId="77777777" w:rsidR="00A06821" w:rsidRDefault="00A06821" w:rsidP="00953036">
      <w:pPr>
        <w:spacing w:after="0" w:line="240" w:lineRule="auto"/>
      </w:pPr>
      <w:r>
        <w:continuationSeparator/>
      </w:r>
    </w:p>
  </w:footnote>
  <w:footnote w:id="1">
    <w:p w14:paraId="251D10FC" w14:textId="07670A51" w:rsidR="00953036" w:rsidRDefault="00953036" w:rsidP="00953036">
      <w:pPr>
        <w:pStyle w:val="FootnoteText"/>
      </w:pPr>
      <w:r w:rsidRPr="008F4154">
        <w:rPr>
          <w:rStyle w:val="FootnoteReference"/>
        </w:rPr>
        <w:footnoteRef/>
      </w:r>
      <w:r w:rsidRPr="008F4154">
        <w:t xml:space="preserve"> Podaci preuzeti iz sus</w:t>
      </w:r>
      <w:r w:rsidR="008F4154" w:rsidRPr="008F4154">
        <w:t>tava eVisitor na dan 15</w:t>
      </w:r>
      <w:r w:rsidR="0047061A">
        <w:t>.11.2021</w:t>
      </w:r>
      <w:r w:rsidRPr="008F415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4EC"/>
    <w:multiLevelType w:val="hybridMultilevel"/>
    <w:tmpl w:val="3D6E2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35D9"/>
    <w:multiLevelType w:val="hybridMultilevel"/>
    <w:tmpl w:val="F9E466A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BF2A55"/>
    <w:multiLevelType w:val="hybridMultilevel"/>
    <w:tmpl w:val="83FAB27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EF4FDF"/>
    <w:multiLevelType w:val="hybridMultilevel"/>
    <w:tmpl w:val="ECF2B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AAE"/>
    <w:multiLevelType w:val="hybridMultilevel"/>
    <w:tmpl w:val="3586A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842FA"/>
    <w:multiLevelType w:val="multilevel"/>
    <w:tmpl w:val="B35C4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3610AA"/>
    <w:multiLevelType w:val="hybridMultilevel"/>
    <w:tmpl w:val="0464B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15352"/>
    <w:multiLevelType w:val="multilevel"/>
    <w:tmpl w:val="C4E635B6"/>
    <w:numStyleLink w:val="Novalista"/>
  </w:abstractNum>
  <w:abstractNum w:abstractNumId="8" w15:restartNumberingAfterBreak="0">
    <w:nsid w:val="32E83133"/>
    <w:multiLevelType w:val="hybridMultilevel"/>
    <w:tmpl w:val="8A6E4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3BA9"/>
    <w:multiLevelType w:val="hybridMultilevel"/>
    <w:tmpl w:val="1584C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12D1A"/>
    <w:multiLevelType w:val="hybridMultilevel"/>
    <w:tmpl w:val="83C477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367BB2"/>
    <w:multiLevelType w:val="hybridMultilevel"/>
    <w:tmpl w:val="7780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F0B94"/>
    <w:multiLevelType w:val="hybridMultilevel"/>
    <w:tmpl w:val="D73CC2F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212BB5"/>
    <w:multiLevelType w:val="hybridMultilevel"/>
    <w:tmpl w:val="1214F3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22528B"/>
    <w:multiLevelType w:val="hybridMultilevel"/>
    <w:tmpl w:val="D1B6A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033A3"/>
    <w:multiLevelType w:val="hybridMultilevel"/>
    <w:tmpl w:val="0F907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B2AE5"/>
    <w:multiLevelType w:val="hybridMultilevel"/>
    <w:tmpl w:val="BBD80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718E0"/>
    <w:multiLevelType w:val="multilevel"/>
    <w:tmpl w:val="C4E635B6"/>
    <w:styleLink w:val="Novalista"/>
    <w:lvl w:ilvl="0">
      <w:start w:val="1"/>
      <w:numFmt w:val="decimal"/>
      <w:pStyle w:val="Glavninaslov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aps/>
        <w:smallCaps/>
        <w:sz w:val="24"/>
      </w:rPr>
    </w:lvl>
    <w:lvl w:ilvl="1">
      <w:start w:val="1"/>
      <w:numFmt w:val="decimal"/>
      <w:pStyle w:val="Podnaslovprverazine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Podnaslovdrugerazine"/>
      <w:suff w:val="space"/>
      <w:lvlText w:val="%1.%2.%3."/>
      <w:lvlJc w:val="left"/>
      <w:pPr>
        <w:ind w:left="568" w:firstLine="0"/>
      </w:pPr>
      <w:rPr>
        <w:rFonts w:ascii="Times New Roman" w:hAnsi="Times New Roman" w:hint="default"/>
        <w:sz w:val="24"/>
      </w:rPr>
    </w:lvl>
    <w:lvl w:ilvl="3">
      <w:start w:val="1"/>
      <w:numFmt w:val="decimal"/>
      <w:pStyle w:val="Podnaslovtreerazine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96B48A0"/>
    <w:multiLevelType w:val="hybridMultilevel"/>
    <w:tmpl w:val="1136A910"/>
    <w:lvl w:ilvl="0" w:tplc="0526DB2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B63B30"/>
    <w:multiLevelType w:val="hybridMultilevel"/>
    <w:tmpl w:val="AD040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45971"/>
    <w:multiLevelType w:val="hybridMultilevel"/>
    <w:tmpl w:val="FF9EF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33922"/>
    <w:multiLevelType w:val="hybridMultilevel"/>
    <w:tmpl w:val="18B42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40ADC"/>
    <w:multiLevelType w:val="hybridMultilevel"/>
    <w:tmpl w:val="5FA47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A078B"/>
    <w:multiLevelType w:val="hybridMultilevel"/>
    <w:tmpl w:val="0AE8A9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14656"/>
    <w:multiLevelType w:val="hybridMultilevel"/>
    <w:tmpl w:val="051A2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968D1"/>
    <w:multiLevelType w:val="hybridMultilevel"/>
    <w:tmpl w:val="C08EA5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436509"/>
    <w:multiLevelType w:val="hybridMultilevel"/>
    <w:tmpl w:val="B218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F25AC"/>
    <w:multiLevelType w:val="hybridMultilevel"/>
    <w:tmpl w:val="0C7C7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15249"/>
    <w:multiLevelType w:val="hybridMultilevel"/>
    <w:tmpl w:val="FBD6F1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247D3D"/>
    <w:multiLevelType w:val="hybridMultilevel"/>
    <w:tmpl w:val="4BAEA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A56C5"/>
    <w:multiLevelType w:val="hybridMultilevel"/>
    <w:tmpl w:val="04D4B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156CC"/>
    <w:multiLevelType w:val="hybridMultilevel"/>
    <w:tmpl w:val="FA32F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0"/>
  </w:num>
  <w:num w:numId="4">
    <w:abstractNumId w:val="26"/>
  </w:num>
  <w:num w:numId="5">
    <w:abstractNumId w:val="16"/>
  </w:num>
  <w:num w:numId="6">
    <w:abstractNumId w:val="4"/>
  </w:num>
  <w:num w:numId="7">
    <w:abstractNumId w:val="27"/>
  </w:num>
  <w:num w:numId="8">
    <w:abstractNumId w:val="3"/>
  </w:num>
  <w:num w:numId="9">
    <w:abstractNumId w:val="29"/>
  </w:num>
  <w:num w:numId="10">
    <w:abstractNumId w:val="30"/>
  </w:num>
  <w:num w:numId="11">
    <w:abstractNumId w:val="0"/>
  </w:num>
  <w:num w:numId="12">
    <w:abstractNumId w:val="19"/>
  </w:num>
  <w:num w:numId="13">
    <w:abstractNumId w:val="14"/>
  </w:num>
  <w:num w:numId="14">
    <w:abstractNumId w:val="9"/>
  </w:num>
  <w:num w:numId="15">
    <w:abstractNumId w:val="21"/>
  </w:num>
  <w:num w:numId="16">
    <w:abstractNumId w:val="15"/>
  </w:num>
  <w:num w:numId="17">
    <w:abstractNumId w:val="8"/>
  </w:num>
  <w:num w:numId="18">
    <w:abstractNumId w:val="5"/>
  </w:num>
  <w:num w:numId="19">
    <w:abstractNumId w:val="17"/>
  </w:num>
  <w:num w:numId="20">
    <w:abstractNumId w:val="7"/>
    <w:lvlOverride w:ilvl="0">
      <w:lvl w:ilvl="0">
        <w:start w:val="1"/>
        <w:numFmt w:val="decimal"/>
        <w:pStyle w:val="Glavninaslov"/>
        <w:suff w:val="space"/>
        <w:lvlText w:val="%1."/>
        <w:lvlJc w:val="left"/>
        <w:pPr>
          <w:ind w:left="0" w:firstLine="0"/>
        </w:pPr>
        <w:rPr>
          <w:rFonts w:ascii="Arial Narrow" w:hAnsi="Arial Narrow" w:hint="default"/>
          <w:b/>
          <w:caps/>
          <w:smallCaps/>
          <w:sz w:val="32"/>
        </w:rPr>
      </w:lvl>
    </w:lvlOverride>
    <w:lvlOverride w:ilvl="1">
      <w:lvl w:ilvl="1">
        <w:start w:val="1"/>
        <w:numFmt w:val="decimal"/>
        <w:pStyle w:val="Podnaslovprverazine"/>
        <w:suff w:val="space"/>
        <w:lvlText w:val="%1.%2."/>
        <w:lvlJc w:val="left"/>
        <w:pPr>
          <w:ind w:left="0" w:firstLine="0"/>
        </w:pPr>
        <w:rPr>
          <w:rFonts w:ascii="Arial Narrow" w:hAnsi="Arial Narrow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Podnaslovdrugerazine"/>
        <w:suff w:val="space"/>
        <w:lvlText w:val="%1.%2.%3."/>
        <w:lvlJc w:val="left"/>
        <w:pPr>
          <w:ind w:left="710" w:firstLine="0"/>
        </w:pPr>
        <w:rPr>
          <w:rFonts w:ascii="Arial Narrow" w:hAnsi="Arial Narrow" w:hint="default"/>
          <w:b/>
          <w:color w:val="auto"/>
          <w:sz w:val="24"/>
        </w:rPr>
      </w:lvl>
    </w:lvlOverride>
  </w:num>
  <w:num w:numId="21">
    <w:abstractNumId w:val="7"/>
  </w:num>
  <w:num w:numId="22">
    <w:abstractNumId w:val="31"/>
  </w:num>
  <w:num w:numId="23">
    <w:abstractNumId w:val="1"/>
  </w:num>
  <w:num w:numId="24">
    <w:abstractNumId w:val="22"/>
  </w:num>
  <w:num w:numId="25">
    <w:abstractNumId w:val="23"/>
  </w:num>
  <w:num w:numId="26">
    <w:abstractNumId w:val="7"/>
    <w:lvlOverride w:ilvl="0">
      <w:startOverride w:val="4"/>
      <w:lvl w:ilvl="0">
        <w:start w:val="4"/>
        <w:numFmt w:val="decimal"/>
        <w:pStyle w:val="Glavninaslov"/>
        <w:suff w:val="space"/>
        <w:lvlText w:val="%1."/>
        <w:lvlJc w:val="left"/>
        <w:pPr>
          <w:ind w:left="0" w:firstLine="0"/>
        </w:pPr>
        <w:rPr>
          <w:rFonts w:ascii="Arial Narrow" w:hAnsi="Arial Narrow" w:hint="default"/>
          <w:b/>
          <w:caps/>
          <w:smallCaps/>
          <w:sz w:val="32"/>
        </w:rPr>
      </w:lvl>
    </w:lvlOverride>
  </w:num>
  <w:num w:numId="27">
    <w:abstractNumId w:val="13"/>
  </w:num>
  <w:num w:numId="28">
    <w:abstractNumId w:val="25"/>
  </w:num>
  <w:num w:numId="29">
    <w:abstractNumId w:val="18"/>
  </w:num>
  <w:num w:numId="30">
    <w:abstractNumId w:val="10"/>
  </w:num>
  <w:num w:numId="31">
    <w:abstractNumId w:val="24"/>
  </w:num>
  <w:num w:numId="32">
    <w:abstractNumId w:val="6"/>
  </w:num>
  <w:num w:numId="33">
    <w:abstractNumId w:val="1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400"/>
    <w:rsid w:val="000A7257"/>
    <w:rsid w:val="000B5DFF"/>
    <w:rsid w:val="000F1861"/>
    <w:rsid w:val="001108A9"/>
    <w:rsid w:val="0011575F"/>
    <w:rsid w:val="0012292A"/>
    <w:rsid w:val="001522AE"/>
    <w:rsid w:val="00190090"/>
    <w:rsid w:val="001A4DED"/>
    <w:rsid w:val="002058EC"/>
    <w:rsid w:val="002104BC"/>
    <w:rsid w:val="002244EE"/>
    <w:rsid w:val="00256E2F"/>
    <w:rsid w:val="00274578"/>
    <w:rsid w:val="002B705D"/>
    <w:rsid w:val="002F455E"/>
    <w:rsid w:val="00324D20"/>
    <w:rsid w:val="003273F9"/>
    <w:rsid w:val="003454C3"/>
    <w:rsid w:val="0037671B"/>
    <w:rsid w:val="00412031"/>
    <w:rsid w:val="00445574"/>
    <w:rsid w:val="0047061A"/>
    <w:rsid w:val="004A27D6"/>
    <w:rsid w:val="004B054B"/>
    <w:rsid w:val="004D62E2"/>
    <w:rsid w:val="004F5B20"/>
    <w:rsid w:val="005004B1"/>
    <w:rsid w:val="00501D15"/>
    <w:rsid w:val="00546B28"/>
    <w:rsid w:val="0056209F"/>
    <w:rsid w:val="005730B0"/>
    <w:rsid w:val="0059092C"/>
    <w:rsid w:val="005E0B06"/>
    <w:rsid w:val="005E4ADF"/>
    <w:rsid w:val="006123A8"/>
    <w:rsid w:val="00623F1A"/>
    <w:rsid w:val="00640D6F"/>
    <w:rsid w:val="0064389A"/>
    <w:rsid w:val="00675B92"/>
    <w:rsid w:val="00677BE8"/>
    <w:rsid w:val="006A071A"/>
    <w:rsid w:val="006A0FCE"/>
    <w:rsid w:val="006F3E7A"/>
    <w:rsid w:val="006F43C3"/>
    <w:rsid w:val="00741B7A"/>
    <w:rsid w:val="00742A4A"/>
    <w:rsid w:val="00743679"/>
    <w:rsid w:val="00745642"/>
    <w:rsid w:val="00750FC4"/>
    <w:rsid w:val="007745B8"/>
    <w:rsid w:val="007F66F9"/>
    <w:rsid w:val="0080537B"/>
    <w:rsid w:val="00835FD0"/>
    <w:rsid w:val="0089096A"/>
    <w:rsid w:val="008B1FD8"/>
    <w:rsid w:val="008D60CE"/>
    <w:rsid w:val="008F1AF2"/>
    <w:rsid w:val="008F4154"/>
    <w:rsid w:val="008F5EDB"/>
    <w:rsid w:val="00905277"/>
    <w:rsid w:val="009231D3"/>
    <w:rsid w:val="00952A60"/>
    <w:rsid w:val="00953036"/>
    <w:rsid w:val="00986676"/>
    <w:rsid w:val="009B6FC8"/>
    <w:rsid w:val="009D241A"/>
    <w:rsid w:val="009D25E7"/>
    <w:rsid w:val="009D6B18"/>
    <w:rsid w:val="00A05142"/>
    <w:rsid w:val="00A06821"/>
    <w:rsid w:val="00A30CD1"/>
    <w:rsid w:val="00A57217"/>
    <w:rsid w:val="00A713B1"/>
    <w:rsid w:val="00A966DB"/>
    <w:rsid w:val="00AA0400"/>
    <w:rsid w:val="00B23783"/>
    <w:rsid w:val="00B24DDA"/>
    <w:rsid w:val="00B25EAB"/>
    <w:rsid w:val="00B50C8D"/>
    <w:rsid w:val="00B84D3A"/>
    <w:rsid w:val="00B90FC3"/>
    <w:rsid w:val="00BC5CD6"/>
    <w:rsid w:val="00BD1F2E"/>
    <w:rsid w:val="00BD31B7"/>
    <w:rsid w:val="00BE64D3"/>
    <w:rsid w:val="00C155C2"/>
    <w:rsid w:val="00C1576B"/>
    <w:rsid w:val="00C53FB0"/>
    <w:rsid w:val="00C65A72"/>
    <w:rsid w:val="00CF6B5F"/>
    <w:rsid w:val="00D21E2A"/>
    <w:rsid w:val="00D259A5"/>
    <w:rsid w:val="00D40974"/>
    <w:rsid w:val="00D8565C"/>
    <w:rsid w:val="00D87618"/>
    <w:rsid w:val="00E04AFA"/>
    <w:rsid w:val="00E145B7"/>
    <w:rsid w:val="00E50549"/>
    <w:rsid w:val="00E65D8E"/>
    <w:rsid w:val="00E77910"/>
    <w:rsid w:val="00EA403D"/>
    <w:rsid w:val="00EC568E"/>
    <w:rsid w:val="00EF76C5"/>
    <w:rsid w:val="00F36FB9"/>
    <w:rsid w:val="00F53D07"/>
    <w:rsid w:val="00F63891"/>
    <w:rsid w:val="00FB1B68"/>
    <w:rsid w:val="00FB418A"/>
    <w:rsid w:val="00FC1CB9"/>
    <w:rsid w:val="00FC1EDB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41C2A"/>
  <w15:chartTrackingRefBased/>
  <w15:docId w15:val="{5B36624A-C62B-4EAA-A2FD-3B88EE6A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30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4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44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5303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3036"/>
    <w:rPr>
      <w:rFonts w:ascii="Times New Roman" w:eastAsia="Calibri" w:hAnsi="Times New Roman" w:cs="Times New Roman"/>
      <w:sz w:val="20"/>
      <w:szCs w:val="20"/>
      <w:lang w:val="hr-HR"/>
    </w:rPr>
  </w:style>
  <w:style w:type="character" w:styleId="FootnoteReference">
    <w:name w:val="footnote reference"/>
    <w:uiPriority w:val="99"/>
    <w:semiHidden/>
    <w:unhideWhenUsed/>
    <w:rsid w:val="00953036"/>
    <w:rPr>
      <w:vertAlign w:val="superscript"/>
    </w:rPr>
  </w:style>
  <w:style w:type="paragraph" w:customStyle="1" w:styleId="Podnaslovdrugerazine">
    <w:name w:val="Podnaslov druge razine"/>
    <w:basedOn w:val="Podnaslovprverazine"/>
    <w:qFormat/>
    <w:rsid w:val="00953036"/>
    <w:pPr>
      <w:numPr>
        <w:ilvl w:val="2"/>
      </w:numPr>
      <w:ind w:left="2160" w:hanging="360"/>
    </w:pPr>
    <w:rPr>
      <w:b w:val="0"/>
    </w:rPr>
  </w:style>
  <w:style w:type="paragraph" w:customStyle="1" w:styleId="Podnaslovprverazine">
    <w:name w:val="Podnaslov prve razine"/>
    <w:basedOn w:val="Heading2"/>
    <w:qFormat/>
    <w:rsid w:val="00953036"/>
    <w:pPr>
      <w:numPr>
        <w:ilvl w:val="1"/>
        <w:numId w:val="20"/>
      </w:numPr>
      <w:spacing w:before="0" w:line="240" w:lineRule="auto"/>
      <w:ind w:left="1440" w:hanging="360"/>
      <w:jc w:val="both"/>
    </w:pPr>
    <w:rPr>
      <w:rFonts w:ascii="Times New Roman" w:eastAsia="Times New Roman" w:hAnsi="Times New Roman" w:cs="Times New Roman"/>
      <w:b/>
      <w:bCs/>
      <w:color w:val="auto"/>
      <w:sz w:val="24"/>
    </w:rPr>
  </w:style>
  <w:style w:type="paragraph" w:customStyle="1" w:styleId="Podnaslovtreerazine">
    <w:name w:val="Podnaslov treće razine"/>
    <w:basedOn w:val="Podnaslovdrugerazine"/>
    <w:qFormat/>
    <w:rsid w:val="00953036"/>
    <w:pPr>
      <w:numPr>
        <w:ilvl w:val="3"/>
      </w:numPr>
      <w:ind w:left="2880" w:hanging="360"/>
    </w:pPr>
    <w:rPr>
      <w:i/>
    </w:rPr>
  </w:style>
  <w:style w:type="paragraph" w:customStyle="1" w:styleId="Glavninaslov">
    <w:name w:val="Glavni naslov"/>
    <w:basedOn w:val="Heading1"/>
    <w:link w:val="GlavninaslovChar"/>
    <w:qFormat/>
    <w:rsid w:val="00953036"/>
    <w:pPr>
      <w:numPr>
        <w:numId w:val="20"/>
      </w:numPr>
      <w:spacing w:before="0" w:line="240" w:lineRule="auto"/>
      <w:jc w:val="both"/>
    </w:pPr>
    <w:rPr>
      <w:rFonts w:ascii="Times New Roman" w:eastAsia="Times New Roman" w:hAnsi="Times New Roman" w:cs="Times New Roman"/>
      <w:b/>
      <w:bCs/>
      <w:caps/>
      <w:color w:val="000000"/>
      <w:sz w:val="24"/>
      <w:szCs w:val="28"/>
    </w:rPr>
  </w:style>
  <w:style w:type="character" w:customStyle="1" w:styleId="GlavninaslovChar">
    <w:name w:val="Glavni naslov Char"/>
    <w:link w:val="Glavninaslov"/>
    <w:rsid w:val="00953036"/>
    <w:rPr>
      <w:rFonts w:ascii="Times New Roman" w:eastAsia="Times New Roman" w:hAnsi="Times New Roman" w:cs="Times New Roman"/>
      <w:b/>
      <w:bCs/>
      <w:caps/>
      <w:color w:val="000000"/>
      <w:sz w:val="24"/>
      <w:szCs w:val="28"/>
      <w:lang w:val="hr-HR"/>
    </w:rPr>
  </w:style>
  <w:style w:type="numbering" w:customStyle="1" w:styleId="Novalista">
    <w:name w:val="Nova lista"/>
    <w:uiPriority w:val="99"/>
    <w:rsid w:val="00953036"/>
    <w:pPr>
      <w:numPr>
        <w:numId w:val="19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5303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9530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customStyle="1" w:styleId="TableParagraph">
    <w:name w:val="Table Paragraph"/>
    <w:basedOn w:val="Normal"/>
    <w:uiPriority w:val="1"/>
    <w:qFormat/>
    <w:rsid w:val="00BE64D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er">
    <w:name w:val="header"/>
    <w:basedOn w:val="Normal"/>
    <w:link w:val="HeaderChar"/>
    <w:uiPriority w:val="99"/>
    <w:unhideWhenUsed/>
    <w:rsid w:val="0062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F1A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2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F1A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zp-sredisnja-podravin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zp-sredisnja-podravi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Milanović Glavica</dc:creator>
  <cp:keywords/>
  <dc:description/>
  <cp:lastModifiedBy>Elizabeta Milanović Glavica</cp:lastModifiedBy>
  <cp:revision>2</cp:revision>
  <dcterms:created xsi:type="dcterms:W3CDTF">2021-12-16T10:57:00Z</dcterms:created>
  <dcterms:modified xsi:type="dcterms:W3CDTF">2021-12-16T10:57:00Z</dcterms:modified>
</cp:coreProperties>
</file>